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1320" w:firstLineChars="300"/>
        <w:jc w:val="left"/>
        <w:rPr>
          <w:rFonts w:ascii="Times New Roman" w:hAnsi="Times New Roman" w:eastAsia="方正小标宋简体"/>
          <w:color w:val="000000" w:themeColor="text1"/>
          <w:sz w:val="44"/>
          <w:szCs w:val="44"/>
          <w14:textFill>
            <w14:solidFill>
              <w14:schemeClr w14:val="tx1"/>
            </w14:solidFill>
          </w14:textFill>
        </w:rPr>
      </w:pPr>
      <w:bookmarkStart w:id="0" w:name="_GoBack"/>
      <w:bookmarkEnd w:id="0"/>
    </w:p>
    <w:p>
      <w:pPr>
        <w:spacing w:line="760" w:lineRule="exact"/>
        <w:ind w:firstLine="1320" w:firstLineChars="300"/>
        <w:jc w:val="left"/>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成都市电动汽车充电基础设施建设</w:t>
      </w:r>
    </w:p>
    <w:p>
      <w:pPr>
        <w:spacing w:line="760" w:lineRule="exact"/>
        <w:jc w:val="center"/>
        <w:rPr>
          <w:rFonts w:ascii="Times New Roman" w:hAnsi="Times New Roman" w:eastAsia="方正小标宋简体"/>
          <w:color w:val="000000" w:themeColor="text1"/>
          <w:sz w:val="44"/>
          <w:szCs w:val="44"/>
          <w14:textFill>
            <w14:solidFill>
              <w14:schemeClr w14:val="tx1"/>
            </w14:solidFill>
          </w14:textFill>
        </w:rPr>
      </w:pPr>
      <w:r>
        <w:rPr>
          <w:rFonts w:ascii="Times New Roman" w:hAnsi="Times New Roman" w:eastAsia="方正小标宋简体"/>
          <w:color w:val="000000" w:themeColor="text1"/>
          <w:sz w:val="44"/>
          <w:szCs w:val="44"/>
          <w14:textFill>
            <w14:solidFill>
              <w14:schemeClr w14:val="tx1"/>
            </w14:solidFill>
          </w14:textFill>
        </w:rPr>
        <w:t>运营管理办法</w:t>
      </w:r>
    </w:p>
    <w:p>
      <w:pPr>
        <w:spacing w:line="760" w:lineRule="exact"/>
        <w:jc w:val="center"/>
        <w:rPr>
          <w:rFonts w:ascii="Times New Roman" w:hAnsi="Times New Roman" w:eastAsia="方正小标宋简体"/>
          <w:color w:val="000000" w:themeColor="text1"/>
          <w:sz w:val="44"/>
          <w:szCs w:val="44"/>
          <w14:textFill>
            <w14:solidFill>
              <w14:schemeClr w14:val="tx1"/>
            </w14:solidFill>
          </w14:textFill>
        </w:rPr>
      </w:pPr>
    </w:p>
    <w:p>
      <w:pPr>
        <w:pStyle w:val="24"/>
        <w:numPr>
          <w:ilvl w:val="0"/>
          <w:numId w:val="1"/>
        </w:numPr>
        <w:spacing w:line="560" w:lineRule="exact"/>
        <w:ind w:firstLineChars="0"/>
        <w:jc w:val="center"/>
        <w:outlineLvl w:val="0"/>
        <w:rPr>
          <w:rFonts w:ascii="Times New Roman" w:hAnsi="Times New Roman" w:eastAsia="黑体"/>
          <w:b/>
          <w:color w:val="000000" w:themeColor="text1"/>
          <w:sz w:val="32"/>
          <w:szCs w:val="32"/>
          <w14:textFill>
            <w14:solidFill>
              <w14:schemeClr w14:val="tx1"/>
            </w14:solidFill>
          </w14:textFill>
        </w:rPr>
      </w:pPr>
      <w:r>
        <w:rPr>
          <w:rFonts w:ascii="Times New Roman" w:hAnsi="Times New Roman" w:eastAsia="黑体"/>
          <w:b/>
          <w:color w:val="000000" w:themeColor="text1"/>
          <w:sz w:val="32"/>
          <w:szCs w:val="32"/>
          <w14:textFill>
            <w14:solidFill>
              <w14:schemeClr w14:val="tx1"/>
            </w14:solidFill>
          </w14:textFill>
        </w:rPr>
        <w:t>总则</w:t>
      </w:r>
    </w:p>
    <w:p>
      <w:pPr>
        <w:tabs>
          <w:tab w:val="left" w:pos="1883"/>
        </w:tabs>
        <w:adjustRightInd w:val="0"/>
        <w:snapToGrid w:val="0"/>
        <w:spacing w:line="620" w:lineRule="exact"/>
        <w:ind w:firstLine="640" w:firstLineChars="200"/>
        <w:rPr>
          <w:rFonts w:hint="eastAsia"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 xml:space="preserve">第一条 </w:t>
      </w:r>
      <w:r>
        <w:rPr>
          <w:rFonts w:hint="eastAsia" w:ascii="Times New Roman" w:hAnsi="Times New Roman" w:eastAsia="方正仿宋简体"/>
          <w:color w:val="000000" w:themeColor="text1"/>
          <w:sz w:val="32"/>
          <w:szCs w:val="32"/>
          <w14:textFill>
            <w14:solidFill>
              <w14:schemeClr w14:val="tx1"/>
            </w14:solidFill>
          </w14:textFill>
        </w:rPr>
        <w:t>按照</w:t>
      </w:r>
      <w:r>
        <w:rPr>
          <w:rFonts w:ascii="Times New Roman" w:hAnsi="Times New Roman" w:eastAsia="方正仿宋简体"/>
          <w:color w:val="000000" w:themeColor="text1"/>
          <w:sz w:val="32"/>
          <w:szCs w:val="32"/>
          <w14:textFill>
            <w14:solidFill>
              <w14:schemeClr w14:val="tx1"/>
            </w14:solidFill>
          </w14:textFill>
        </w:rPr>
        <w:t>《提升新能源汽车充电保障能力行动计划》（发改能源〔2018〕1698号）</w:t>
      </w:r>
      <w:r>
        <w:rPr>
          <w:rFonts w:hint="eastAsia" w:ascii="Times New Roman" w:hAnsi="Times New Roman" w:eastAsia="方正仿宋简体"/>
          <w:color w:val="000000" w:themeColor="text1"/>
          <w:sz w:val="32"/>
          <w:szCs w:val="32"/>
          <w14:textFill>
            <w14:solidFill>
              <w14:schemeClr w14:val="tx1"/>
            </w14:solidFill>
          </w14:textFill>
        </w:rPr>
        <w:t>、《四川省公（专）用充电基础设施建设运营管理暂行办法》（川发改能源规〔2020〕380号）等文件要求，为加快成都市电动汽车的推广应用，规范充电基础设施（以下简称充电设施）的规划建设和运营管理，保证充电设施安全高效使用，特制定本办法。</w:t>
      </w:r>
    </w:p>
    <w:p>
      <w:pPr>
        <w:pStyle w:val="29"/>
        <w:snapToGrid w:val="0"/>
        <w:spacing w:line="600" w:lineRule="exact"/>
        <w:ind w:firstLine="640" w:firstLineChars="200"/>
        <w:outlineLvl w:val="1"/>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充电设施</w:t>
      </w:r>
      <w:r>
        <w:rPr>
          <w:rFonts w:hint="eastAsia" w:ascii="仿宋" w:hAnsi="仿宋" w:eastAsia="仿宋"/>
          <w:color w:val="000000" w:themeColor="text1"/>
          <w:sz w:val="32"/>
          <w:szCs w:val="32"/>
          <w14:textFill>
            <w14:solidFill>
              <w14:schemeClr w14:val="tx1"/>
            </w14:solidFill>
          </w14:textFill>
        </w:rPr>
        <w:t>建设单位</w:t>
      </w:r>
      <w:r>
        <w:rPr>
          <w:rFonts w:ascii="仿宋" w:hAnsi="仿宋" w:eastAsia="仿宋"/>
          <w:color w:val="000000" w:themeColor="text1"/>
          <w:sz w:val="32"/>
          <w:szCs w:val="32"/>
          <w14:textFill>
            <w14:solidFill>
              <w14:schemeClr w14:val="tx1"/>
            </w14:solidFill>
          </w14:textFill>
        </w:rPr>
        <w:t>，是指依法享有充电设施所有权的机关事业单位、人民团体、国有及国有控股企业、私营企业、外资企业等各类</w:t>
      </w:r>
      <w:r>
        <w:rPr>
          <w:rFonts w:hint="eastAsia" w:ascii="仿宋" w:hAnsi="仿宋" w:eastAsia="仿宋"/>
          <w:color w:val="000000" w:themeColor="text1"/>
          <w:sz w:val="32"/>
          <w:szCs w:val="32"/>
          <w14:textFill>
            <w14:solidFill>
              <w14:schemeClr w14:val="tx1"/>
            </w14:solidFill>
          </w14:textFill>
        </w:rPr>
        <w:t>投资</w:t>
      </w:r>
      <w:r>
        <w:rPr>
          <w:rFonts w:ascii="仿宋" w:hAnsi="仿宋" w:eastAsia="仿宋"/>
          <w:color w:val="000000" w:themeColor="text1"/>
          <w:sz w:val="32"/>
          <w:szCs w:val="32"/>
          <w14:textFill>
            <w14:solidFill>
              <w14:schemeClr w14:val="tx1"/>
            </w14:solidFill>
          </w14:textFill>
        </w:rPr>
        <w:t>主体</w:t>
      </w:r>
      <w:r>
        <w:rPr>
          <w:rFonts w:hint="eastAsia" w:ascii="仿宋" w:hAnsi="仿宋" w:eastAsia="仿宋"/>
          <w:color w:val="000000" w:themeColor="text1"/>
          <w:sz w:val="32"/>
          <w:szCs w:val="32"/>
          <w:lang w:eastAsia="zh-CN"/>
          <w14:textFill>
            <w14:solidFill>
              <w14:schemeClr w14:val="tx1"/>
            </w14:solidFill>
          </w14:textFill>
        </w:rPr>
        <w:t>。</w:t>
      </w:r>
    </w:p>
    <w:p>
      <w:pPr>
        <w:pStyle w:val="29"/>
        <w:snapToGrid w:val="0"/>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充电设施运营单位，是指满足一定条件、具备履行经营责任能力，利用自有充电设施或接受他人委托，从事充电设施经营服务的法人企业。</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第二条</w:t>
      </w:r>
      <w:r>
        <w:rPr>
          <w:rFonts w:hint="eastAsia" w:ascii="Times New Roman" w:hAnsi="Times New Roman" w:eastAsia="方正仿宋简体"/>
          <w:color w:val="000000" w:themeColor="text1"/>
          <w:sz w:val="32"/>
          <w:szCs w:val="32"/>
          <w14:textFill>
            <w14:solidFill>
              <w14:schemeClr w14:val="tx1"/>
            </w14:solidFill>
          </w14:textFill>
        </w:rPr>
        <w:t xml:space="preserve"> 全市行政区域内充电设施的规划建设、运营管理等相关活动适用本办法。</w:t>
      </w:r>
    </w:p>
    <w:p>
      <w:pPr>
        <w:tabs>
          <w:tab w:val="left" w:pos="1883"/>
        </w:tabs>
        <w:adjustRightInd w:val="0"/>
        <w:snapToGrid w:val="0"/>
        <w:spacing w:line="620" w:lineRule="exact"/>
        <w:ind w:firstLine="640" w:firstLineChars="200"/>
        <w:rPr>
          <w:rFonts w:ascii="Times New Roman" w:hAnsi="Times New Roman" w:eastAsia="方正仿宋简体"/>
          <w:color w:val="auto"/>
          <w:sz w:val="32"/>
          <w:szCs w:val="32"/>
        </w:rPr>
      </w:pPr>
      <w:r>
        <w:rPr>
          <w:rFonts w:hint="eastAsia" w:ascii="方正楷体简体" w:hAnsi="方正楷体简体" w:eastAsia="方正楷体简体" w:cs="方正楷体简体"/>
          <w:color w:val="auto"/>
          <w:sz w:val="32"/>
          <w:szCs w:val="32"/>
        </w:rPr>
        <w:t>第三条</w:t>
      </w:r>
      <w:r>
        <w:rPr>
          <w:rFonts w:hint="eastAsia" w:ascii="Times New Roman" w:hAnsi="Times New Roman" w:eastAsia="方正仿宋简体"/>
          <w:color w:val="auto"/>
          <w:sz w:val="32"/>
          <w:szCs w:val="32"/>
        </w:rPr>
        <w:t xml:space="preserve"> 本办法所称充电设施是指为电动汽车提供电能补给的充</w:t>
      </w:r>
      <w:r>
        <w:rPr>
          <w:rFonts w:hint="eastAsia" w:ascii="Times New Roman" w:hAnsi="Times New Roman" w:eastAsia="方正仿宋简体"/>
          <w:color w:val="auto"/>
          <w:sz w:val="32"/>
          <w:szCs w:val="32"/>
          <w:lang w:eastAsia="zh-CN"/>
        </w:rPr>
        <w:t>换</w:t>
      </w:r>
      <w:r>
        <w:rPr>
          <w:rFonts w:hint="eastAsia" w:ascii="Times New Roman" w:hAnsi="Times New Roman" w:eastAsia="方正仿宋简体"/>
          <w:color w:val="auto"/>
          <w:sz w:val="32"/>
          <w:szCs w:val="32"/>
        </w:rPr>
        <w:t>电设备及其他相关设施的总称。主要包括：</w:t>
      </w:r>
    </w:p>
    <w:p>
      <w:pPr>
        <w:tabs>
          <w:tab w:val="left" w:pos="1883"/>
        </w:tabs>
        <w:adjustRightInd w:val="0"/>
        <w:snapToGrid w:val="0"/>
        <w:spacing w:line="62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（一）自用充电设施：指在个人所有或</w:t>
      </w:r>
      <w:r>
        <w:rPr>
          <w:rFonts w:hint="eastAsia" w:ascii="仿宋" w:hAnsi="仿宋" w:eastAsia="仿宋"/>
          <w:color w:val="auto"/>
          <w:sz w:val="32"/>
          <w:szCs w:val="32"/>
        </w:rPr>
        <w:t>长期租赁（一年以上）</w:t>
      </w:r>
      <w:r>
        <w:rPr>
          <w:rFonts w:hint="eastAsia" w:ascii="Times New Roman" w:hAnsi="Times New Roman" w:eastAsia="方正仿宋简体"/>
          <w:color w:val="auto"/>
          <w:sz w:val="32"/>
          <w:szCs w:val="32"/>
        </w:rPr>
        <w:t>固定停车位建设，专为私人车辆服务的充电设施。</w:t>
      </w:r>
    </w:p>
    <w:p>
      <w:pPr>
        <w:tabs>
          <w:tab w:val="left" w:pos="1883"/>
        </w:tabs>
        <w:adjustRightInd w:val="0"/>
        <w:snapToGrid w:val="0"/>
        <w:spacing w:line="620" w:lineRule="exact"/>
        <w:ind w:firstLine="640"/>
        <w:rPr>
          <w:rFonts w:hint="eastAsia" w:ascii="Times New Roman" w:hAnsi="Times New Roman" w:eastAsia="方正仿宋简体"/>
          <w:color w:val="auto"/>
          <w:sz w:val="32"/>
          <w:szCs w:val="32"/>
          <w:lang w:eastAsia="zh-CN"/>
        </w:rPr>
      </w:pPr>
      <w:r>
        <w:rPr>
          <w:rFonts w:hint="eastAsia" w:ascii="Times New Roman" w:hAnsi="Times New Roman" w:eastAsia="方正仿宋简体"/>
          <w:color w:val="auto"/>
          <w:sz w:val="32"/>
          <w:szCs w:val="32"/>
        </w:rPr>
        <w:t>（二）专用充电设施：指在党政机关、企</w:t>
      </w:r>
      <w:r>
        <w:rPr>
          <w:rFonts w:hint="eastAsia" w:ascii="Times New Roman" w:hAnsi="Times New Roman" w:eastAsia="方正仿宋简体"/>
          <w:color w:val="auto"/>
          <w:sz w:val="32"/>
          <w:szCs w:val="32"/>
          <w:lang w:val="en-US" w:eastAsia="zh-CN"/>
        </w:rPr>
        <w:t>(</w:t>
      </w:r>
      <w:r>
        <w:rPr>
          <w:rFonts w:hint="eastAsia" w:ascii="Times New Roman" w:hAnsi="Times New Roman" w:eastAsia="方正仿宋简体"/>
          <w:color w:val="auto"/>
          <w:sz w:val="32"/>
          <w:szCs w:val="32"/>
        </w:rPr>
        <w:t>事</w:t>
      </w:r>
      <w:r>
        <w:rPr>
          <w:rFonts w:hint="eastAsia" w:ascii="Times New Roman" w:hAnsi="Times New Roman" w:eastAsia="方正仿宋简体"/>
          <w:color w:val="auto"/>
          <w:sz w:val="32"/>
          <w:szCs w:val="32"/>
          <w:lang w:val="en-US" w:eastAsia="zh-CN"/>
        </w:rPr>
        <w:t>)</w:t>
      </w:r>
      <w:r>
        <w:rPr>
          <w:rFonts w:hint="eastAsia" w:ascii="Times New Roman" w:hAnsi="Times New Roman" w:eastAsia="方正仿宋简体"/>
          <w:color w:val="auto"/>
          <w:sz w:val="32"/>
          <w:szCs w:val="32"/>
        </w:rPr>
        <w:t>业单位、</w:t>
      </w:r>
      <w:r>
        <w:rPr>
          <w:rFonts w:hint="eastAsia" w:ascii="Times New Roman" w:hAnsi="Times New Roman" w:eastAsia="方正仿宋简体"/>
          <w:color w:val="auto"/>
          <w:sz w:val="32"/>
          <w:szCs w:val="32"/>
          <w:lang w:eastAsia="zh-CN"/>
        </w:rPr>
        <w:t>社会团体、</w:t>
      </w:r>
      <w:r>
        <w:rPr>
          <w:rFonts w:hint="eastAsia" w:ascii="Times New Roman" w:hAnsi="Times New Roman" w:eastAsia="方正仿宋简体"/>
          <w:color w:val="auto"/>
          <w:sz w:val="32"/>
          <w:szCs w:val="32"/>
        </w:rPr>
        <w:t>园区等专属停车位，为</w:t>
      </w:r>
      <w:r>
        <w:rPr>
          <w:rFonts w:hint="eastAsia" w:ascii="Times New Roman" w:hAnsi="Times New Roman" w:eastAsia="方正仿宋简体"/>
          <w:color w:val="auto"/>
          <w:sz w:val="32"/>
          <w:szCs w:val="32"/>
          <w:lang w:eastAsia="zh-CN"/>
        </w:rPr>
        <w:t>公务车辆、员工车辆等</w:t>
      </w:r>
      <w:r>
        <w:rPr>
          <w:rFonts w:hint="eastAsia" w:ascii="Times New Roman" w:hAnsi="Times New Roman" w:eastAsia="方正仿宋简体"/>
          <w:color w:val="auto"/>
          <w:sz w:val="32"/>
          <w:szCs w:val="32"/>
        </w:rPr>
        <w:t>提供</w:t>
      </w:r>
      <w:r>
        <w:rPr>
          <w:rFonts w:hint="eastAsia" w:ascii="Times New Roman" w:hAnsi="Times New Roman" w:eastAsia="方正仿宋简体"/>
          <w:color w:val="auto"/>
          <w:sz w:val="32"/>
          <w:szCs w:val="32"/>
          <w:lang w:eastAsia="zh-CN"/>
        </w:rPr>
        <w:t>专属充电服务的充电基础设施，以及在公交车、客运汽车、出租车、环卫、物流等专用车站场所建设，为专用车辆等提供专属充电服务的充电基础设施。</w:t>
      </w:r>
    </w:p>
    <w:p>
      <w:pPr>
        <w:tabs>
          <w:tab w:val="left" w:pos="1883"/>
        </w:tabs>
        <w:adjustRightInd w:val="0"/>
        <w:snapToGrid w:val="0"/>
        <w:spacing w:line="620" w:lineRule="exact"/>
        <w:ind w:firstLine="640"/>
        <w:rPr>
          <w:rFonts w:hint="default" w:ascii="Times New Roman" w:hAnsi="Times New Roman" w:eastAsia="方正仿宋简体"/>
          <w:color w:val="FF0000"/>
          <w:sz w:val="32"/>
          <w:szCs w:val="32"/>
          <w:lang w:val="en-US" w:eastAsia="zh-CN"/>
        </w:rPr>
      </w:pPr>
      <w:r>
        <w:rPr>
          <w:rFonts w:hint="eastAsia" w:ascii="Times New Roman" w:hAnsi="Times New Roman" w:eastAsia="方正仿宋简体"/>
          <w:color w:val="auto"/>
          <w:sz w:val="32"/>
          <w:szCs w:val="32"/>
          <w:lang w:eastAsia="zh-CN"/>
        </w:rPr>
        <w:t>（三）公用充电设施：指在独立地块、社会公共停车场、住宅小区公共停车场、商业建筑物及酒店配建停车场、加油（气）站、高速公路服务区、交通枢纽、医院、园区景区等区域规划建设，面向社会车辆提供充电服务的充电基础设施。</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鼓励有条件的自用、专用充电设施向社会开放，向社会开放的自用、专用充电设施纳入公用充电设施范畴管理。</w:t>
      </w:r>
    </w:p>
    <w:p>
      <w:pPr>
        <w:tabs>
          <w:tab w:val="left" w:pos="1883"/>
        </w:tabs>
        <w:adjustRightInd w:val="0"/>
        <w:snapToGrid w:val="0"/>
        <w:spacing w:line="620" w:lineRule="exact"/>
        <w:ind w:firstLine="3200" w:firstLineChars="1000"/>
        <w:rPr>
          <w:rFonts w:ascii="方正黑体简体" w:hAnsi="方正黑体简体" w:eastAsia="方正黑体简体" w:cs="方正黑体简体"/>
          <w:color w:val="000000" w:themeColor="text1"/>
          <w:sz w:val="32"/>
          <w:szCs w:val="32"/>
          <w14:textFill>
            <w14:solidFill>
              <w14:schemeClr w14:val="tx1"/>
            </w14:solidFill>
          </w14:textFill>
        </w:rPr>
      </w:pPr>
    </w:p>
    <w:p>
      <w:pPr>
        <w:pStyle w:val="24"/>
        <w:numPr>
          <w:ilvl w:val="0"/>
          <w:numId w:val="1"/>
        </w:numPr>
        <w:spacing w:line="560" w:lineRule="exact"/>
        <w:ind w:firstLineChars="0"/>
        <w:jc w:val="center"/>
        <w:outlineLvl w:val="0"/>
        <w:rPr>
          <w:rFonts w:ascii="Times New Roman" w:hAnsi="Times New Roman" w:eastAsia="黑体"/>
          <w:b/>
          <w:color w:val="000000" w:themeColor="text1"/>
          <w:sz w:val="32"/>
          <w:szCs w:val="32"/>
          <w14:textFill>
            <w14:solidFill>
              <w14:schemeClr w14:val="tx1"/>
            </w14:solidFill>
          </w14:textFill>
        </w:rPr>
      </w:pPr>
      <w:r>
        <w:rPr>
          <w:rFonts w:hint="eastAsia" w:ascii="Times New Roman" w:hAnsi="Times New Roman" w:eastAsia="黑体"/>
          <w:b/>
          <w:color w:val="000000" w:themeColor="text1"/>
          <w:sz w:val="32"/>
          <w:szCs w:val="32"/>
          <w14:textFill>
            <w14:solidFill>
              <w14:schemeClr w14:val="tx1"/>
            </w14:solidFill>
          </w14:textFill>
        </w:rPr>
        <w:t>规划建设</w:t>
      </w:r>
    </w:p>
    <w:p>
      <w:pPr>
        <w:widowControl/>
        <w:tabs>
          <w:tab w:val="left" w:pos="1883"/>
        </w:tabs>
        <w:adjustRightInd w:val="0"/>
        <w:snapToGrid w:val="0"/>
        <w:spacing w:line="620" w:lineRule="exact"/>
        <w:ind w:firstLine="640" w:firstLineChars="200"/>
        <w:jc w:val="left"/>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第四条</w:t>
      </w:r>
      <w:r>
        <w:rPr>
          <w:rFonts w:hint="eastAsia" w:ascii="Times New Roman" w:hAnsi="Times New Roman" w:eastAsia="方正仿宋简体"/>
          <w:color w:val="000000" w:themeColor="text1"/>
          <w:sz w:val="32"/>
          <w:szCs w:val="32"/>
          <w14:textFill>
            <w14:solidFill>
              <w14:schemeClr w14:val="tx1"/>
            </w14:solidFill>
          </w14:textFill>
        </w:rPr>
        <w:t xml:space="preserve"> 市级充电设施行业主管部门会同规划、交通、住建等部门统筹编制全市充电设施专项规划，专项规划应符合成都市国土空间规划，并与城市基础设施规划、电力规划、交通规划、停车场规划等有效衔接。各区（市）县政府可动态编制充电设施实施计划，原则上不单独编制充电设施专项规划。</w:t>
      </w:r>
    </w:p>
    <w:p>
      <w:pPr>
        <w:numPr>
          <w:ilvl w:val="255"/>
          <w:numId w:val="0"/>
        </w:num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第五条</w:t>
      </w:r>
      <w:r>
        <w:rPr>
          <w:rFonts w:hint="eastAsia" w:ascii="Times New Roman" w:hAnsi="Times New Roman" w:eastAsia="方正仿宋简体"/>
          <w:color w:val="000000" w:themeColor="text1"/>
          <w:sz w:val="32"/>
          <w:szCs w:val="32"/>
          <w14:textFill>
            <w14:solidFill>
              <w14:schemeClr w14:val="tx1"/>
            </w14:solidFill>
          </w14:textFill>
        </w:rPr>
        <w:t xml:space="preserve"> 按照“合建、配建为主，单建、独立占地为辅”的原则，积极推广智能有序慢充为主、应急快充为辅的居民区充电服务模式，加快形成适度超前、快充为主、慢充为辅的高速公路和城乡公共充电网络。</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第六条</w:t>
      </w:r>
      <w:r>
        <w:rPr>
          <w:rFonts w:hint="eastAsia" w:ascii="Times New Roman" w:hAnsi="Times New Roman" w:eastAsia="方正仿宋简体"/>
          <w:color w:val="000000" w:themeColor="text1"/>
          <w:sz w:val="32"/>
          <w:szCs w:val="32"/>
          <w14:textFill>
            <w14:solidFill>
              <w14:schemeClr w14:val="tx1"/>
            </w14:solidFill>
          </w14:textFill>
        </w:rPr>
        <w:t xml:space="preserve"> 结合电动汽车推广应用趋势，科学设置和推动落实不同类型既有、新建建筑停车场及社会公共停车场的充电设施配建比例指标。新建建筑停车场及社会公共停车场配建充电设施应与主体工程同步规划、同步设计、同步施工、同步验收。</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第七条</w:t>
      </w:r>
      <w:r>
        <w:rPr>
          <w:rFonts w:hint="eastAsia" w:ascii="Times New Roman" w:hAnsi="Times New Roman" w:eastAsia="方正仿宋简体"/>
          <w:color w:val="000000" w:themeColor="text1"/>
          <w:sz w:val="32"/>
          <w:szCs w:val="32"/>
          <w14:textFill>
            <w14:solidFill>
              <w14:schemeClr w14:val="tx1"/>
            </w14:solidFill>
          </w14:textFill>
        </w:rPr>
        <w:t xml:space="preserve"> 住房和城乡建设行政主管部门将新建建筑及社会公共停车场充电设施配建比例及要求纳入土地出让的建设条件，设计单位和审图机构应按照明确的充电设施配建比例及要求开展施工图设计和审查工作，建设工程质量监督机构应对建设单位、施工单位是否按图施工进行监督。</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第八条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充电设施建设面向机关事业单位、人民团体、国有企业、私营企业、外资企业等各类主体公平统一开放。按照“谁投资、谁受益、谁负责”原则，履行安全生产主体责任，做好事故预防及应急处置。</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第九条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充电设施投资项目实行备案制度。充电设施建设单位或其委托的运营单位应按照《成都市电动汽车充电基础设施项目备案及监督管理细则》（见附件1）要求进行项目备案。个人建设的自用充电设施不进行备案。</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充电设施施工单位应具有相应级别的机电安装</w:t>
      </w:r>
      <w:r>
        <w:rPr>
          <w:rFonts w:hint="eastAsia" w:ascii="Times New Roman" w:hAnsi="Times New Roman" w:eastAsia="方正仿宋简体"/>
          <w:color w:val="000000" w:themeColor="text1"/>
          <w:sz w:val="32"/>
          <w:szCs w:val="32"/>
          <w:lang w:eastAsia="zh-CN"/>
          <w14:textFill>
            <w14:solidFill>
              <w14:schemeClr w14:val="tx1"/>
            </w14:solidFill>
          </w14:textFill>
        </w:rPr>
        <w:t>工程专业承包资质三级以上资质</w:t>
      </w:r>
      <w:r>
        <w:rPr>
          <w:rFonts w:hint="eastAsia" w:ascii="Times New Roman" w:hAnsi="Times New Roman" w:eastAsia="方正仿宋简体"/>
          <w:color w:val="000000" w:themeColor="text1"/>
          <w:sz w:val="32"/>
          <w:szCs w:val="32"/>
          <w14:textFill>
            <w14:solidFill>
              <w14:schemeClr w14:val="tx1"/>
            </w14:solidFill>
          </w14:textFill>
        </w:rPr>
        <w:t>、承装（修、试）</w:t>
      </w:r>
      <w:r>
        <w:rPr>
          <w:rFonts w:hint="eastAsia" w:ascii="Times New Roman" w:hAnsi="Times New Roman" w:eastAsia="方正仿宋简体"/>
          <w:color w:val="000000" w:themeColor="text1"/>
          <w:sz w:val="32"/>
          <w:szCs w:val="32"/>
          <w:lang w:eastAsia="zh-CN"/>
          <w14:textFill>
            <w14:solidFill>
              <w14:schemeClr w14:val="tx1"/>
            </w14:solidFill>
          </w14:textFill>
        </w:rPr>
        <w:t>电力设施资质</w:t>
      </w:r>
      <w:r>
        <w:rPr>
          <w:rFonts w:hint="eastAsia" w:ascii="Times New Roman" w:hAnsi="Times New Roman" w:eastAsia="方正仿宋简体"/>
          <w:color w:val="000000" w:themeColor="text1"/>
          <w:sz w:val="32"/>
          <w:szCs w:val="32"/>
          <w14:textFill>
            <w14:solidFill>
              <w14:schemeClr w14:val="tx1"/>
            </w14:solidFill>
          </w14:textFill>
        </w:rPr>
        <w:t>五级以上资质</w:t>
      </w:r>
      <w:r>
        <w:rPr>
          <w:rFonts w:hint="eastAsia" w:ascii="Times New Roman" w:hAnsi="Times New Roman" w:eastAsia="方正仿宋简体"/>
          <w:color w:val="000000" w:themeColor="text1"/>
          <w:sz w:val="32"/>
          <w:szCs w:val="32"/>
          <w:lang w:eastAsia="zh-CN"/>
          <w14:textFill>
            <w14:solidFill>
              <w14:schemeClr w14:val="tx1"/>
            </w14:solidFill>
          </w14:textFill>
        </w:rPr>
        <w:t>，</w:t>
      </w:r>
      <w:r>
        <w:rPr>
          <w:rFonts w:hint="eastAsia" w:ascii="Times New Roman" w:hAnsi="Times New Roman" w:eastAsia="方正仿宋简体"/>
          <w:color w:val="000000" w:themeColor="text1"/>
          <w:sz w:val="32"/>
          <w:szCs w:val="32"/>
          <w14:textFill>
            <w14:solidFill>
              <w14:schemeClr w14:val="tx1"/>
            </w14:solidFill>
          </w14:textFill>
        </w:rPr>
        <w:t>或电力工程施工总承包三级及以上资质，并具备安全生产许可证。</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第十一条</w:t>
      </w:r>
      <w:r>
        <w:rPr>
          <w:rFonts w:hint="eastAsia" w:ascii="Times New Roman" w:hAnsi="Times New Roman" w:eastAsia="方正仿宋简体"/>
          <w:color w:val="000000" w:themeColor="text1"/>
          <w:sz w:val="32"/>
          <w:szCs w:val="32"/>
          <w14:textFill>
            <w14:solidFill>
              <w14:schemeClr w14:val="tx1"/>
            </w14:solidFill>
          </w14:textFill>
        </w:rPr>
        <w:t xml:space="preserve"> 电网企业负责高压经营性集中式充电设施红线外配套电网建设。公用变压器直接供电到户的居民小区，电网企业负责出资安装表计至电源点之间的线路工程；电力设施由物业服务机构运维的户表居民小区，电源点（户表变压器）至充电设施的线路工程由充电设施投资主体（人）出资建设和运维。</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第十二条</w:t>
      </w:r>
      <w:r>
        <w:rPr>
          <w:rFonts w:hint="eastAsia" w:ascii="Times New Roman" w:hAnsi="Times New Roman" w:eastAsia="方正仿宋简体"/>
          <w:color w:val="000000" w:themeColor="text1"/>
          <w:sz w:val="32"/>
          <w:szCs w:val="32"/>
          <w14:textFill>
            <w14:solidFill>
              <w14:schemeClr w14:val="tx1"/>
            </w14:solidFill>
          </w14:textFill>
        </w:rPr>
        <w:t xml:space="preserve"> 实行专业化物业服务管理的住宅小区，物业服务机构在充电设施安装过程中，应积极配合提供相关图纸资料，指认电源位置及暗埋管线走向，指定专人配合现场勘查、施工，不得设置障碍。</w:t>
      </w:r>
    </w:p>
    <w:p>
      <w:pPr>
        <w:tabs>
          <w:tab w:val="left" w:pos="1883"/>
        </w:tabs>
        <w:adjustRightInd w:val="0"/>
        <w:snapToGrid w:val="0"/>
        <w:spacing w:line="620" w:lineRule="exact"/>
        <w:ind w:firstLine="640" w:firstLineChars="200"/>
        <w:jc w:val="left"/>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第十三条</w:t>
      </w:r>
      <w:r>
        <w:rPr>
          <w:rFonts w:hint="eastAsia" w:ascii="Times New Roman" w:hAnsi="Times New Roman" w:eastAsia="方正仿宋简体"/>
          <w:color w:val="000000" w:themeColor="text1"/>
          <w:sz w:val="32"/>
          <w:szCs w:val="32"/>
          <w14:textFill>
            <w14:solidFill>
              <w14:schemeClr w14:val="tx1"/>
            </w14:solidFill>
          </w14:textFill>
        </w:rPr>
        <w:t xml:space="preserve"> 住宅小区现有配电设施无法满足充电设备用电需求时，配电设施产权为电网企业的，由电网企业提出解决方案；</w:t>
      </w:r>
      <w:r>
        <w:rPr>
          <w:rFonts w:hint="eastAsia" w:ascii="Times New Roman" w:hAnsi="Times New Roman" w:eastAsia="方正仿宋简体"/>
          <w:color w:val="000000" w:themeColor="text1"/>
          <w:sz w:val="32"/>
          <w:szCs w:val="32"/>
          <w:lang w:eastAsia="zh-CN"/>
          <w14:textFill>
            <w14:solidFill>
              <w14:schemeClr w14:val="tx1"/>
            </w14:solidFill>
          </w14:textFill>
        </w:rPr>
        <w:t>配电设施</w:t>
      </w:r>
      <w:r>
        <w:rPr>
          <w:rFonts w:hint="eastAsia" w:ascii="Times New Roman" w:hAnsi="Times New Roman" w:eastAsia="方正仿宋简体"/>
          <w:color w:val="000000" w:themeColor="text1"/>
          <w:sz w:val="32"/>
          <w:szCs w:val="32"/>
          <w14:textFill>
            <w14:solidFill>
              <w14:schemeClr w14:val="tx1"/>
            </w14:solidFill>
          </w14:textFill>
        </w:rPr>
        <w:t>产权不是电网企业的，由产权人提出解决方案，支持引入第三方充电运营商采用智能有序充电方式，分时错峰充电，提高现有配电设施使用效率，降低增容改造投资。</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第十四条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充电设施建成后，建设单位按照要求组织竣工验收，形成竣工验收报告。面向社会开放的充电设施，建设单位还应按照《成都市电动汽车充电基础设施验收管理细则》（见附件2）要求委托具备C</w:t>
      </w:r>
      <w:r>
        <w:rPr>
          <w:rFonts w:ascii="Times New Roman" w:hAnsi="Times New Roman" w:eastAsia="方正仿宋简体"/>
          <w:color w:val="000000" w:themeColor="text1"/>
          <w:sz w:val="32"/>
          <w:szCs w:val="32"/>
          <w14:textFill>
            <w14:solidFill>
              <w14:schemeClr w14:val="tx1"/>
            </w14:solidFill>
          </w14:textFill>
        </w:rPr>
        <w:t>MA</w:t>
      </w:r>
      <w:r>
        <w:rPr>
          <w:rFonts w:hint="eastAsia" w:ascii="Times New Roman" w:hAnsi="Times New Roman" w:eastAsia="方正仿宋简体"/>
          <w:color w:val="000000" w:themeColor="text1"/>
          <w:sz w:val="32"/>
          <w:szCs w:val="32"/>
          <w14:textFill>
            <w14:solidFill>
              <w14:schemeClr w14:val="tx1"/>
            </w14:solidFill>
          </w14:textFill>
        </w:rPr>
        <w:t>资质的第三方机构进行综合验收，未经综合验收或者验收不合格的充电设施不得对外运营和申请财政补贴。</w:t>
      </w:r>
    </w:p>
    <w:p>
      <w:pPr>
        <w:tabs>
          <w:tab w:val="left" w:pos="1883"/>
        </w:tabs>
        <w:adjustRightInd w:val="0"/>
        <w:snapToGrid w:val="0"/>
        <w:spacing w:line="620" w:lineRule="exact"/>
        <w:ind w:firstLine="2880" w:firstLineChars="900"/>
        <w:rPr>
          <w:rFonts w:ascii="方正黑体简体" w:hAnsi="方正黑体简体" w:eastAsia="方正黑体简体" w:cs="方正黑体简体"/>
          <w:color w:val="000000" w:themeColor="text1"/>
          <w:sz w:val="32"/>
          <w:szCs w:val="32"/>
          <w14:textFill>
            <w14:solidFill>
              <w14:schemeClr w14:val="tx1"/>
            </w14:solidFill>
          </w14:textFill>
        </w:rPr>
      </w:pPr>
    </w:p>
    <w:p>
      <w:pPr>
        <w:pStyle w:val="24"/>
        <w:numPr>
          <w:ilvl w:val="0"/>
          <w:numId w:val="1"/>
        </w:numPr>
        <w:spacing w:line="560" w:lineRule="exact"/>
        <w:ind w:firstLineChars="0"/>
        <w:jc w:val="center"/>
        <w:outlineLvl w:val="0"/>
        <w:rPr>
          <w:rFonts w:ascii="Times New Roman" w:hAnsi="Times New Roman" w:eastAsia="黑体"/>
          <w:b/>
          <w:color w:val="000000" w:themeColor="text1"/>
          <w:sz w:val="32"/>
          <w:szCs w:val="32"/>
          <w14:textFill>
            <w14:solidFill>
              <w14:schemeClr w14:val="tx1"/>
            </w14:solidFill>
          </w14:textFill>
        </w:rPr>
      </w:pPr>
      <w:r>
        <w:rPr>
          <w:rFonts w:hint="eastAsia" w:ascii="Times New Roman" w:hAnsi="Times New Roman" w:eastAsia="黑体"/>
          <w:b/>
          <w:color w:val="000000" w:themeColor="text1"/>
          <w:sz w:val="32"/>
          <w:szCs w:val="32"/>
          <w14:textFill>
            <w14:solidFill>
              <w14:schemeClr w14:val="tx1"/>
            </w14:solidFill>
          </w14:textFill>
        </w:rPr>
        <w:t>运营维护</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第十五条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充电设施建设单位在充电设施日常运行维护中，应履行以下职责和义务：</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（一）履行安全生产主体责任，负责充电设施安全、电源安全、消防安全等，确保充电设施安全运行；负责事故应急处置，配合政府相关部门的事故调查。</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（二）建立健全运维管理制度，定期检修维护充电设施。</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三）负责将其充电设施接入成都市新能源汽车及充电设施监测监管平台，保障报送数据真实准确，并在充电订单结束24小时内推送数据，因客观因素无法及时推送数据的，应于7个工作日内以书面形式向市级平台申请数据补推接口。</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（四）严格执行国家、行业及地方充电设施标准规范。</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（五）按要求向政府有关部门报告真实准确的数据信息。</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（六）</w:t>
      </w:r>
      <w:r>
        <w:rPr>
          <w:rFonts w:ascii="Times New Roman" w:hAnsi="Times New Roman" w:eastAsia="方正仿宋简体"/>
          <w:color w:val="000000" w:themeColor="text1"/>
          <w:sz w:val="32"/>
          <w:szCs w:val="32"/>
          <w14:textFill>
            <w14:solidFill>
              <w14:schemeClr w14:val="tx1"/>
            </w14:solidFill>
          </w14:textFill>
        </w:rPr>
        <w:t>承担充电设施侵害第三者权益责任。</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（七）充电设施不再运营的及时组织拆除。</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第十六条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充电设施建设</w:t>
      </w:r>
      <w:r>
        <w:rPr>
          <w:rFonts w:hint="eastAsia" w:ascii="Times New Roman" w:hAnsi="Times New Roman" w:eastAsia="方正仿宋简体"/>
          <w:color w:val="000000" w:themeColor="text1"/>
          <w:sz w:val="32"/>
          <w:szCs w:val="32"/>
          <w:lang w:eastAsia="zh-CN"/>
          <w14:textFill>
            <w14:solidFill>
              <w14:schemeClr w14:val="tx1"/>
            </w14:solidFill>
          </w14:textFill>
        </w:rPr>
        <w:t>（运营）</w:t>
      </w:r>
      <w:r>
        <w:rPr>
          <w:rFonts w:hint="eastAsia" w:ascii="Times New Roman" w:hAnsi="Times New Roman" w:eastAsia="方正仿宋简体"/>
          <w:color w:val="000000" w:themeColor="text1"/>
          <w:sz w:val="32"/>
          <w:szCs w:val="32"/>
          <w14:textFill>
            <w14:solidFill>
              <w14:schemeClr w14:val="tx1"/>
            </w14:solidFill>
          </w14:textFill>
        </w:rPr>
        <w:t>单位面向社会提供充电服务，须同时满足以下条件：</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（一）经登记注册的合法独立法人单位，经营范围含有电动汽车充电设施建设运营或充电服务。</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（二）建立企业级运营管理系统，能够对其运营的充电设施运行、运维、安全风险实时监测和预警，并采集和储存运营数据（数据保存期限不低于</w:t>
      </w:r>
      <w:r>
        <w:rPr>
          <w:rFonts w:ascii="Times New Roman" w:hAnsi="Times New Roman" w:eastAsia="方正仿宋简体"/>
          <w:color w:val="000000" w:themeColor="text1"/>
          <w:sz w:val="32"/>
          <w:szCs w:val="32"/>
          <w14:textFill>
            <w14:solidFill>
              <w14:schemeClr w14:val="tx1"/>
            </w14:solidFill>
          </w14:textFill>
        </w:rPr>
        <w:t>3</w:t>
      </w:r>
      <w:r>
        <w:rPr>
          <w:rFonts w:hint="eastAsia" w:ascii="Times New Roman" w:hAnsi="Times New Roman" w:eastAsia="方正仿宋简体"/>
          <w:color w:val="000000" w:themeColor="text1"/>
          <w:sz w:val="32"/>
          <w:szCs w:val="32"/>
          <w14:textFill>
            <w14:solidFill>
              <w14:schemeClr w14:val="tx1"/>
            </w14:solidFill>
          </w14:textFill>
        </w:rPr>
        <w:t>年）。管理系统能够与政府监管平台实现有效对接。</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（三）在本市有</w:t>
      </w:r>
      <w:r>
        <w:rPr>
          <w:rFonts w:hint="eastAsia" w:ascii="Times New Roman" w:hAnsi="Times New Roman" w:eastAsia="方正仿宋简体"/>
          <w:color w:val="000000" w:themeColor="text1"/>
          <w:sz w:val="32"/>
          <w:szCs w:val="32"/>
          <w:lang w:val="en-US" w:eastAsia="zh-CN"/>
          <w14:textFill>
            <w14:solidFill>
              <w14:schemeClr w14:val="tx1"/>
            </w14:solidFill>
          </w14:textFill>
        </w:rPr>
        <w:t>5</w:t>
      </w:r>
      <w:r>
        <w:rPr>
          <w:rFonts w:hint="eastAsia" w:ascii="Times New Roman" w:hAnsi="Times New Roman" w:eastAsia="方正仿宋简体"/>
          <w:color w:val="000000" w:themeColor="text1"/>
          <w:sz w:val="32"/>
          <w:szCs w:val="32"/>
          <w14:textFill>
            <w14:solidFill>
              <w14:schemeClr w14:val="tx1"/>
            </w14:solidFill>
          </w14:textFill>
        </w:rPr>
        <w:t>名及以上正式员工，其中具备高压电工资质的正式工作人员不少于2人。</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（四）建立健全安全生产组织机构和管理制度，编制安全预案，具备安全生产条件、设备检测能力和突发事件应急处置能力，保证充电设施安全、规范、可靠运行。</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（五）在我市拥有自有产权的充</w:t>
      </w:r>
      <w:r>
        <w:rPr>
          <w:rFonts w:hint="eastAsia" w:ascii="Times New Roman" w:hAnsi="Times New Roman" w:eastAsia="方正仿宋简体"/>
          <w:color w:val="000000" w:themeColor="text1"/>
          <w:sz w:val="32"/>
          <w:szCs w:val="32"/>
          <w:lang w:eastAsia="zh-CN"/>
          <w14:textFill>
            <w14:solidFill>
              <w14:schemeClr w14:val="tx1"/>
            </w14:solidFill>
          </w14:textFill>
        </w:rPr>
        <w:t>换</w:t>
      </w:r>
      <w:r>
        <w:rPr>
          <w:rFonts w:hint="eastAsia" w:ascii="Times New Roman" w:hAnsi="Times New Roman" w:eastAsia="方正仿宋简体"/>
          <w:color w:val="000000" w:themeColor="text1"/>
          <w:sz w:val="32"/>
          <w:szCs w:val="32"/>
          <w14:textFill>
            <w14:solidFill>
              <w14:schemeClr w14:val="tx1"/>
            </w14:solidFill>
          </w14:textFill>
        </w:rPr>
        <w:t>电设备装机总功率不少于</w:t>
      </w:r>
      <w:r>
        <w:rPr>
          <w:rFonts w:ascii="Times New Roman" w:hAnsi="Times New Roman" w:eastAsia="方正仿宋简体"/>
          <w:color w:val="000000" w:themeColor="text1"/>
          <w:sz w:val="32"/>
          <w:szCs w:val="32"/>
          <w14:textFill>
            <w14:solidFill>
              <w14:schemeClr w14:val="tx1"/>
            </w14:solidFill>
          </w14:textFill>
        </w:rPr>
        <w:t>6</w:t>
      </w:r>
      <w:r>
        <w:rPr>
          <w:rFonts w:hint="eastAsia" w:ascii="Times New Roman" w:hAnsi="Times New Roman" w:eastAsia="方正仿宋简体"/>
          <w:color w:val="000000" w:themeColor="text1"/>
          <w:sz w:val="32"/>
          <w:szCs w:val="32"/>
          <w14:textFill>
            <w14:solidFill>
              <w14:schemeClr w14:val="tx1"/>
            </w14:solidFill>
          </w14:textFill>
        </w:rPr>
        <w:t>000kW或不少于</w:t>
      </w:r>
      <w:r>
        <w:rPr>
          <w:rFonts w:ascii="Times New Roman" w:hAnsi="Times New Roman" w:eastAsia="方正仿宋简体"/>
          <w:color w:val="000000" w:themeColor="text1"/>
          <w:sz w:val="32"/>
          <w:szCs w:val="32"/>
          <w14:textFill>
            <w14:solidFill>
              <w14:schemeClr w14:val="tx1"/>
            </w14:solidFill>
          </w14:textFill>
        </w:rPr>
        <w:t>10</w:t>
      </w:r>
      <w:r>
        <w:rPr>
          <w:rFonts w:hint="eastAsia" w:ascii="Times New Roman" w:hAnsi="Times New Roman" w:eastAsia="方正仿宋简体"/>
          <w:color w:val="000000" w:themeColor="text1"/>
          <w:sz w:val="32"/>
          <w:szCs w:val="32"/>
          <w14:textFill>
            <w14:solidFill>
              <w14:schemeClr w14:val="tx1"/>
            </w14:solidFill>
          </w14:textFill>
        </w:rPr>
        <w:t>00台。</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（六）为对外运营的充电设施购买安全责任保险。</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（七）按照有关规定要求开展充电设施强制检定。</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第十七条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充电设施建设单位无法履行第十五条规定</w:t>
      </w:r>
      <w:r>
        <w:rPr>
          <w:rFonts w:hint="eastAsia" w:ascii="Times New Roman" w:hAnsi="Times New Roman" w:eastAsia="方正仿宋简体"/>
          <w:color w:val="000000" w:themeColor="text1"/>
          <w:sz w:val="32"/>
          <w:szCs w:val="32"/>
          <w:lang w:eastAsia="zh-CN"/>
          <w14:textFill>
            <w14:solidFill>
              <w14:schemeClr w14:val="tx1"/>
            </w14:solidFill>
          </w14:textFill>
        </w:rPr>
        <w:t>职责</w:t>
      </w:r>
      <w:r>
        <w:rPr>
          <w:rFonts w:hint="eastAsia" w:ascii="Times New Roman" w:hAnsi="Times New Roman" w:eastAsia="方正仿宋简体"/>
          <w:color w:val="000000" w:themeColor="text1"/>
          <w:sz w:val="32"/>
          <w:szCs w:val="32"/>
          <w14:textFill>
            <w14:solidFill>
              <w14:schemeClr w14:val="tx1"/>
            </w14:solidFill>
          </w14:textFill>
        </w:rPr>
        <w:t>或不满足第十六条规定的，可将其充电设施委托给能够满足有关要求的充电设施运营单位（以下简称充电运营</w:t>
      </w:r>
      <w:r>
        <w:rPr>
          <w:rFonts w:hint="eastAsia" w:ascii="Times New Roman" w:hAnsi="Times New Roman" w:eastAsia="方正仿宋简体"/>
          <w:color w:val="000000" w:themeColor="text1"/>
          <w:sz w:val="32"/>
          <w:szCs w:val="32"/>
          <w:lang w:val="en-US" w:eastAsia="zh-Hans"/>
          <w14:textFill>
            <w14:solidFill>
              <w14:schemeClr w14:val="tx1"/>
            </w14:solidFill>
          </w14:textFill>
        </w:rPr>
        <w:t>单位</w:t>
      </w:r>
      <w:r>
        <w:rPr>
          <w:rFonts w:hint="eastAsia" w:ascii="Times New Roman" w:hAnsi="Times New Roman" w:eastAsia="方正仿宋简体"/>
          <w:color w:val="000000" w:themeColor="text1"/>
          <w:sz w:val="32"/>
          <w:szCs w:val="32"/>
          <w14:textFill>
            <w14:solidFill>
              <w14:schemeClr w14:val="tx1"/>
            </w14:solidFill>
          </w14:textFill>
        </w:rPr>
        <w:t>）代为运营维护管理，并签订协议明确各自运营维护管理责任。</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充电设施建设单位委托充电运营</w:t>
      </w:r>
      <w:r>
        <w:rPr>
          <w:rFonts w:hint="eastAsia" w:ascii="Times New Roman" w:hAnsi="Times New Roman" w:eastAsia="方正仿宋简体"/>
          <w:color w:val="000000" w:themeColor="text1"/>
          <w:sz w:val="32"/>
          <w:szCs w:val="32"/>
          <w:lang w:eastAsia="zh-CN"/>
          <w14:textFill>
            <w14:solidFill>
              <w14:schemeClr w14:val="tx1"/>
            </w14:solidFill>
          </w14:textFill>
        </w:rPr>
        <w:t>单位</w:t>
      </w:r>
      <w:r>
        <w:rPr>
          <w:rFonts w:hint="eastAsia" w:ascii="Times New Roman" w:hAnsi="Times New Roman" w:eastAsia="方正仿宋简体"/>
          <w:color w:val="000000" w:themeColor="text1"/>
          <w:sz w:val="32"/>
          <w:szCs w:val="32"/>
          <w14:textFill>
            <w14:solidFill>
              <w14:schemeClr w14:val="tx1"/>
            </w14:solidFill>
          </w14:textFill>
        </w:rPr>
        <w:t>代为运营维护管理的，安全生产主体责任仍由建设单位承担。</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第十八条</w:t>
      </w:r>
      <w:r>
        <w:rPr>
          <w:rFonts w:hint="eastAsia" w:ascii="Times New Roman" w:hAnsi="Times New Roman" w:eastAsia="方正仿宋简体"/>
          <w:color w:val="000000" w:themeColor="text1"/>
          <w:sz w:val="32"/>
          <w:szCs w:val="32"/>
          <w14:textFill>
            <w14:solidFill>
              <w14:schemeClr w14:val="tx1"/>
            </w14:solidFill>
          </w14:textFill>
        </w:rPr>
        <w:t xml:space="preserve"> 为规范充电设施运营、保障用户权益，对充电运营</w:t>
      </w:r>
      <w:r>
        <w:rPr>
          <w:rFonts w:hint="eastAsia" w:ascii="Times New Roman" w:hAnsi="Times New Roman" w:eastAsia="方正仿宋简体"/>
          <w:color w:val="000000" w:themeColor="text1"/>
          <w:sz w:val="32"/>
          <w:szCs w:val="32"/>
          <w:lang w:eastAsia="zh-CN"/>
          <w14:textFill>
            <w14:solidFill>
              <w14:schemeClr w14:val="tx1"/>
            </w14:solidFill>
          </w14:textFill>
        </w:rPr>
        <w:t>单位</w:t>
      </w:r>
      <w:r>
        <w:rPr>
          <w:rFonts w:hint="eastAsia" w:ascii="Times New Roman" w:hAnsi="Times New Roman" w:eastAsia="方正仿宋简体"/>
          <w:color w:val="000000" w:themeColor="text1"/>
          <w:sz w:val="32"/>
          <w:szCs w:val="32"/>
          <w14:textFill>
            <w14:solidFill>
              <w14:schemeClr w14:val="tx1"/>
            </w14:solidFill>
          </w14:textFill>
        </w:rPr>
        <w:t>实行备案管理。建立健全充电运营商考核机制，推动行业健康发展。市级充电设施行业主管部门指导成都市新能源汽车及充电设施监测监管平台统一开展充电运营商备案管理工作。</w:t>
      </w:r>
    </w:p>
    <w:p>
      <w:pPr>
        <w:tabs>
          <w:tab w:val="left" w:pos="1883"/>
        </w:tabs>
        <w:adjustRightInd w:val="0"/>
        <w:snapToGrid w:val="0"/>
        <w:spacing w:line="620" w:lineRule="exact"/>
        <w:ind w:firstLine="64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第十九条</w:t>
      </w:r>
      <w:r>
        <w:rPr>
          <w:rFonts w:hint="eastAsia" w:ascii="Times New Roman" w:hAnsi="Times New Roman" w:eastAsia="方正仿宋简体"/>
          <w:color w:val="000000" w:themeColor="text1"/>
          <w:sz w:val="32"/>
          <w:szCs w:val="32"/>
          <w14:textFill>
            <w14:solidFill>
              <w14:schemeClr w14:val="tx1"/>
            </w14:solidFill>
          </w14:textFill>
        </w:rPr>
        <w:t xml:space="preserve"> 充电设施建设</w:t>
      </w:r>
      <w:r>
        <w:rPr>
          <w:rFonts w:hint="eastAsia" w:ascii="Times New Roman" w:hAnsi="Times New Roman" w:eastAsia="方正仿宋简体"/>
          <w:color w:val="000000" w:themeColor="text1"/>
          <w:sz w:val="32"/>
          <w:szCs w:val="32"/>
          <w:lang w:eastAsia="zh-CN"/>
          <w14:textFill>
            <w14:solidFill>
              <w14:schemeClr w14:val="tx1"/>
            </w14:solidFill>
          </w14:textFill>
        </w:rPr>
        <w:t>（运营）</w:t>
      </w:r>
      <w:r>
        <w:rPr>
          <w:rFonts w:hint="eastAsia" w:ascii="Times New Roman" w:hAnsi="Times New Roman" w:eastAsia="方正仿宋简体"/>
          <w:color w:val="000000" w:themeColor="text1"/>
          <w:sz w:val="32"/>
          <w:szCs w:val="32"/>
          <w14:textFill>
            <w14:solidFill>
              <w14:schemeClr w14:val="tx1"/>
            </w14:solidFill>
          </w14:textFill>
        </w:rPr>
        <w:t>单位有下列情形之一的，取消其项目补贴资格：</w:t>
      </w:r>
    </w:p>
    <w:p>
      <w:pPr>
        <w:widowControl/>
        <w:numPr>
          <w:ilvl w:val="0"/>
          <w:numId w:val="2"/>
        </w:numPr>
        <w:tabs>
          <w:tab w:val="left" w:pos="1883"/>
        </w:tabs>
        <w:adjustRightInd w:val="0"/>
        <w:snapToGrid w:val="0"/>
        <w:spacing w:line="620" w:lineRule="exact"/>
        <w:ind w:firstLine="640" w:firstLineChars="200"/>
        <w:jc w:val="left"/>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lang w:val="en-US" w:eastAsia="zh-Hans"/>
          <w14:textFill>
            <w14:solidFill>
              <w14:schemeClr w14:val="tx1"/>
            </w14:solidFill>
          </w14:textFill>
        </w:rPr>
        <w:t>未能</w:t>
      </w:r>
      <w:r>
        <w:rPr>
          <w:rFonts w:hint="eastAsia" w:ascii="Times New Roman" w:hAnsi="Times New Roman" w:eastAsia="方正仿宋简体"/>
          <w:color w:val="000000" w:themeColor="text1"/>
          <w:sz w:val="32"/>
          <w:szCs w:val="32"/>
          <w14:textFill>
            <w14:solidFill>
              <w14:schemeClr w14:val="tx1"/>
            </w14:solidFill>
          </w14:textFill>
        </w:rPr>
        <w:t>履行第十五条规定</w:t>
      </w:r>
      <w:r>
        <w:rPr>
          <w:rFonts w:hint="eastAsia" w:ascii="Times New Roman" w:hAnsi="Times New Roman" w:eastAsia="方正仿宋简体"/>
          <w:color w:val="000000" w:themeColor="text1"/>
          <w:sz w:val="32"/>
          <w:szCs w:val="32"/>
          <w:lang w:val="en-US" w:eastAsia="zh-Hans"/>
          <w14:textFill>
            <w14:solidFill>
              <w14:schemeClr w14:val="tx1"/>
            </w14:solidFill>
          </w14:textFill>
        </w:rPr>
        <w:t>职责</w:t>
      </w:r>
      <w:r>
        <w:rPr>
          <w:rFonts w:hint="eastAsia" w:ascii="Times New Roman" w:hAnsi="Times New Roman" w:eastAsia="方正仿宋简体"/>
          <w:color w:val="000000" w:themeColor="text1"/>
          <w:sz w:val="32"/>
          <w:szCs w:val="32"/>
          <w14:textFill>
            <w14:solidFill>
              <w14:schemeClr w14:val="tx1"/>
            </w14:solidFill>
          </w14:textFill>
        </w:rPr>
        <w:t>的；</w:t>
      </w:r>
    </w:p>
    <w:p>
      <w:pPr>
        <w:widowControl/>
        <w:numPr>
          <w:ilvl w:val="0"/>
          <w:numId w:val="2"/>
        </w:numPr>
        <w:tabs>
          <w:tab w:val="left" w:pos="1883"/>
        </w:tabs>
        <w:adjustRightInd w:val="0"/>
        <w:snapToGrid w:val="0"/>
        <w:spacing w:line="620" w:lineRule="exact"/>
        <w:ind w:firstLine="640" w:firstLineChars="200"/>
        <w:jc w:val="left"/>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不能满足第十六条规定的；</w:t>
      </w:r>
    </w:p>
    <w:p>
      <w:pPr>
        <w:widowControl/>
        <w:tabs>
          <w:tab w:val="left" w:pos="1883"/>
        </w:tabs>
        <w:adjustRightInd w:val="0"/>
        <w:snapToGrid w:val="0"/>
        <w:spacing w:line="620" w:lineRule="exact"/>
        <w:ind w:firstLine="640" w:firstLineChars="200"/>
        <w:jc w:val="left"/>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（三）提供虚假材料或信息，骗取财政补贴的；</w:t>
      </w:r>
    </w:p>
    <w:p>
      <w:pPr>
        <w:widowControl/>
        <w:tabs>
          <w:tab w:val="left" w:pos="1883"/>
        </w:tabs>
        <w:adjustRightInd w:val="0"/>
        <w:snapToGrid w:val="0"/>
        <w:spacing w:line="620" w:lineRule="exact"/>
        <w:ind w:firstLine="640" w:firstLineChars="200"/>
        <w:jc w:val="left"/>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（四）运营期间因设备、管理等自身原因造成重大人员伤亡、他人重大财产损失或其他严重后果的；</w:t>
      </w:r>
    </w:p>
    <w:p>
      <w:pPr>
        <w:widowControl/>
        <w:tabs>
          <w:tab w:val="left" w:pos="1883"/>
        </w:tabs>
        <w:adjustRightInd w:val="0"/>
        <w:snapToGrid w:val="0"/>
        <w:spacing w:line="620" w:lineRule="exact"/>
        <w:ind w:firstLine="640" w:firstLineChars="200"/>
        <w:jc w:val="left"/>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（五）在经营活动中存在重大违法违规行为的；</w:t>
      </w:r>
    </w:p>
    <w:p>
      <w:pPr>
        <w:tabs>
          <w:tab w:val="left" w:pos="1883"/>
        </w:tabs>
        <w:adjustRightInd w:val="0"/>
        <w:snapToGrid w:val="0"/>
        <w:spacing w:line="62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（六）安全检查中发现重大安全隐患且未整改到位的。</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第二十条</w:t>
      </w:r>
      <w:r>
        <w:rPr>
          <w:rFonts w:hint="eastAsia" w:ascii="Times New Roman" w:hAnsi="Times New Roman" w:eastAsia="方正仿宋简体"/>
          <w:color w:val="000000" w:themeColor="text1"/>
          <w:sz w:val="32"/>
          <w:szCs w:val="32"/>
          <w14:textFill>
            <w14:solidFill>
              <w14:schemeClr w14:val="tx1"/>
            </w14:solidFill>
          </w14:textFill>
        </w:rPr>
        <w:t xml:space="preserve"> 建立“条块结合”的充电设施安全监管体系，落实各区（市）县政府的属地安全监管职责和各行业主管部门的协同监管职责，完善充电设施安全生产监督管理制度，加强监督检查，指导、督促充电设施建设（运营）单位落实安全生产责任。</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第二十一条</w:t>
      </w:r>
      <w:r>
        <w:rPr>
          <w:rFonts w:hint="eastAsia" w:ascii="Times New Roman" w:hAnsi="Times New Roman" w:eastAsia="方正仿宋简体"/>
          <w:color w:val="000000" w:themeColor="text1"/>
          <w:sz w:val="32"/>
          <w:szCs w:val="32"/>
          <w14:textFill>
            <w14:solidFill>
              <w14:schemeClr w14:val="tx1"/>
            </w14:solidFill>
          </w14:textFill>
        </w:rPr>
        <w:t xml:space="preserve"> 电网迎峰度夏、度冬的尖峰时刻，充电设施建设（运营）单位应服从电网调度，有序充电，鼓励通过智能控制等技术手段提高充电负荷对电网供需的响应。</w:t>
      </w:r>
    </w:p>
    <w:p>
      <w:pPr>
        <w:tabs>
          <w:tab w:val="left" w:pos="1883"/>
        </w:tabs>
        <w:adjustRightInd w:val="0"/>
        <w:snapToGrid w:val="0"/>
        <w:spacing w:line="620" w:lineRule="exact"/>
        <w:ind w:firstLine="640" w:firstLineChars="200"/>
        <w:jc w:val="left"/>
        <w:rPr>
          <w:rFonts w:ascii="Times New Roman" w:hAnsi="Times New Roman" w:eastAsia="方正仿宋简体"/>
          <w:color w:val="000000" w:themeColor="text1"/>
          <w:sz w:val="32"/>
          <w:szCs w:val="32"/>
          <w14:textFill>
            <w14:solidFill>
              <w14:schemeClr w14:val="tx1"/>
            </w14:solidFill>
          </w14:textFill>
        </w:rPr>
      </w:pPr>
    </w:p>
    <w:p>
      <w:pPr>
        <w:pStyle w:val="24"/>
        <w:numPr>
          <w:ilvl w:val="0"/>
          <w:numId w:val="1"/>
        </w:numPr>
        <w:spacing w:line="560" w:lineRule="exact"/>
        <w:ind w:firstLineChars="0"/>
        <w:jc w:val="center"/>
        <w:outlineLvl w:val="0"/>
        <w:rPr>
          <w:rFonts w:ascii="Times New Roman" w:hAnsi="Times New Roman" w:eastAsia="黑体"/>
          <w:b/>
          <w:color w:val="000000" w:themeColor="text1"/>
          <w:sz w:val="32"/>
          <w:szCs w:val="32"/>
          <w14:textFill>
            <w14:solidFill>
              <w14:schemeClr w14:val="tx1"/>
            </w14:solidFill>
          </w14:textFill>
        </w:rPr>
      </w:pPr>
      <w:r>
        <w:rPr>
          <w:rFonts w:hint="eastAsia" w:ascii="Times New Roman" w:hAnsi="Times New Roman" w:eastAsia="黑体"/>
          <w:b/>
          <w:color w:val="000000" w:themeColor="text1"/>
          <w:sz w:val="32"/>
          <w:szCs w:val="32"/>
          <w14:textFill>
            <w14:solidFill>
              <w14:schemeClr w14:val="tx1"/>
            </w14:solidFill>
          </w14:textFill>
        </w:rPr>
        <w:t>政策支持</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第二十二条</w:t>
      </w:r>
      <w:r>
        <w:rPr>
          <w:rFonts w:hint="eastAsia" w:ascii="Times New Roman" w:hAnsi="Times New Roman" w:eastAsia="方正仿宋简体"/>
          <w:color w:val="000000" w:themeColor="text1"/>
          <w:sz w:val="32"/>
          <w:szCs w:val="32"/>
          <w14:textFill>
            <w14:solidFill>
              <w14:schemeClr w14:val="tx1"/>
            </w14:solidFill>
          </w14:textFill>
        </w:rPr>
        <w:t xml:space="preserve"> 进一步简化充电设施建设审批手续。利用既有停车场配建充电设施无需办理用地规划许可证、建设工程规划许可证和施工许可证，新建建筑物及公共停车场配建充电设施无需单独办理用地规划许可证、建设工程规划许可证和施工许可证。</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第二十三条</w:t>
      </w:r>
      <w:r>
        <w:rPr>
          <w:rFonts w:hint="eastAsia" w:ascii="Times New Roman" w:hAnsi="Times New Roman" w:eastAsia="方正仿宋简体"/>
          <w:color w:val="000000" w:themeColor="text1"/>
          <w:sz w:val="32"/>
          <w:szCs w:val="32"/>
          <w14:textFill>
            <w14:solidFill>
              <w14:schemeClr w14:val="tx1"/>
            </w14:solidFill>
          </w14:textFill>
        </w:rPr>
        <w:t xml:space="preserve"> 市级充电设施行业主管部门及各区（市）县可结合行业领域实际制定专项充电设施财政支持政策，加大对具备智能有序充电控制功能充电设施的补贴力度。</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第二十四条</w:t>
      </w:r>
      <w:r>
        <w:rPr>
          <w:rFonts w:hint="eastAsia" w:ascii="Times New Roman" w:hAnsi="Times New Roman" w:eastAsia="方正仿宋简体"/>
          <w:color w:val="000000" w:themeColor="text1"/>
          <w:sz w:val="32"/>
          <w:szCs w:val="32"/>
          <w14:textFill>
            <w14:solidFill>
              <w14:schemeClr w14:val="tx1"/>
            </w14:solidFill>
          </w14:textFill>
        </w:rPr>
        <w:t xml:space="preserve"> 对向电网企业直接报装接电的经营性集中式充换电设施，用电执行“工商业及其他用电”中的两部制电价，2025年底前免收基本电费。其它充电设施按其所在场所执行分类目录电价，并按照省级价格主管部门规定的范围执行丰枯峰谷浮动。期间国家、四川省有新规定的，从其规定。鼓励具备条件的充电设施企业参与电力市场交易。</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第二十五条</w:t>
      </w:r>
      <w:r>
        <w:rPr>
          <w:rFonts w:hint="eastAsia" w:ascii="Times New Roman" w:hAnsi="Times New Roman" w:eastAsia="方正仿宋简体"/>
          <w:color w:val="000000" w:themeColor="text1"/>
          <w:sz w:val="32"/>
          <w:szCs w:val="32"/>
          <w14:textFill>
            <w14:solidFill>
              <w14:schemeClr w14:val="tx1"/>
            </w14:solidFill>
          </w14:textFill>
        </w:rPr>
        <w:t xml:space="preserve"> 鼓励充电设施建设运营模式创新。支持符合条件的充电运营商统一规划建设、统一运营管理住宅小区充电设施。试点推广电动汽车与电网双向能量流动的V2G模式，积极探索V2G模式的经济效用和峰谷调节能力。促进充电设施建设（运营）单位规模化、品牌化、专业化发展，加快形成规模、技术、管理、资金和服务网络等优势，提升全市充电设施建设运营水平。</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第二十六条</w:t>
      </w:r>
      <w:r>
        <w:rPr>
          <w:rFonts w:hint="eastAsia" w:ascii="Times New Roman" w:hAnsi="Times New Roman" w:eastAsia="方正仿宋简体"/>
          <w:color w:val="000000" w:themeColor="text1"/>
          <w:sz w:val="32"/>
          <w:szCs w:val="32"/>
          <w14:textFill>
            <w14:solidFill>
              <w14:schemeClr w14:val="tx1"/>
            </w14:solidFill>
          </w14:textFill>
        </w:rPr>
        <w:t xml:space="preserve"> 基于安全生产、运营维护、数据质量等维度，建立健全公用充电设施建设运营考核评价体系，适时推出考核评价结果与政府补贴挂钩机制，督促充电运营商不断提升服务质量水平。</w:t>
      </w:r>
    </w:p>
    <w:p>
      <w:pPr>
        <w:tabs>
          <w:tab w:val="left" w:pos="1883"/>
        </w:tabs>
        <w:adjustRightInd w:val="0"/>
        <w:snapToGrid w:val="0"/>
        <w:spacing w:line="620" w:lineRule="exact"/>
        <w:rPr>
          <w:rFonts w:ascii="Times New Roman" w:hAnsi="Times New Roman" w:eastAsia="方正仿宋简体"/>
          <w:color w:val="000000" w:themeColor="text1"/>
          <w:sz w:val="32"/>
          <w:szCs w:val="32"/>
          <w14:textFill>
            <w14:solidFill>
              <w14:schemeClr w14:val="tx1"/>
            </w14:solidFill>
          </w14:textFill>
        </w:rPr>
      </w:pPr>
    </w:p>
    <w:p>
      <w:pPr>
        <w:pStyle w:val="24"/>
        <w:numPr>
          <w:ilvl w:val="0"/>
          <w:numId w:val="1"/>
        </w:numPr>
        <w:spacing w:line="560" w:lineRule="exact"/>
        <w:ind w:firstLineChars="0"/>
        <w:jc w:val="center"/>
        <w:outlineLvl w:val="0"/>
        <w:rPr>
          <w:rFonts w:ascii="Times New Roman" w:hAnsi="Times New Roman" w:eastAsia="黑体"/>
          <w:b/>
          <w:color w:val="000000" w:themeColor="text1"/>
          <w:sz w:val="32"/>
          <w:szCs w:val="32"/>
          <w14:textFill>
            <w14:solidFill>
              <w14:schemeClr w14:val="tx1"/>
            </w14:solidFill>
          </w14:textFill>
        </w:rPr>
      </w:pPr>
      <w:r>
        <w:rPr>
          <w:rFonts w:hint="eastAsia" w:ascii="Times New Roman" w:hAnsi="Times New Roman" w:eastAsia="黑体"/>
          <w:b/>
          <w:color w:val="000000" w:themeColor="text1"/>
          <w:sz w:val="32"/>
          <w:szCs w:val="32"/>
          <w14:textFill>
            <w14:solidFill>
              <w14:schemeClr w14:val="tx1"/>
            </w14:solidFill>
          </w14:textFill>
        </w:rPr>
        <w:t>职责分工</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第二十七条</w:t>
      </w:r>
      <w:r>
        <w:rPr>
          <w:rFonts w:hint="eastAsia" w:ascii="Times New Roman" w:hAnsi="Times New Roman" w:eastAsia="方正仿宋简体"/>
          <w:color w:val="000000" w:themeColor="text1"/>
          <w:sz w:val="32"/>
          <w:szCs w:val="32"/>
          <w14:textFill>
            <w14:solidFill>
              <w14:schemeClr w14:val="tx1"/>
            </w14:solidFill>
          </w14:textFill>
        </w:rPr>
        <w:t xml:space="preserve"> 按照《关于印发成都市氢能暨新能源汽车产业推进工作领导小组及成员单位工作职责的通知》（成氢新汽领〔2020〕1号）要求，市级充电设施行业主管部门统筹充电设施建设工作，其他行业主管部门按照职责分工抓好工作落实，指导区（市）县对口职能部门落实相应职责。</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第二十八条</w:t>
      </w:r>
      <w:r>
        <w:rPr>
          <w:rFonts w:hint="eastAsia" w:ascii="Times New Roman" w:hAnsi="Times New Roman" w:eastAsia="方正仿宋简体"/>
          <w:color w:val="000000" w:themeColor="text1"/>
          <w:sz w:val="32"/>
          <w:szCs w:val="32"/>
          <w14:textFill>
            <w14:solidFill>
              <w14:schemeClr w14:val="tx1"/>
            </w14:solidFill>
          </w14:textFill>
        </w:rPr>
        <w:t xml:space="preserve"> 各区（市）县政府落实统筹推进充电设施发展的主体责任，指定区（市）县相关部门与市级部门对接，督促街道办事处（乡镇政府）、居委会（村委会）及时协调解决辖区内充电设施建设中的困难和问题。</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第二十九条</w:t>
      </w:r>
      <w:r>
        <w:rPr>
          <w:rFonts w:hint="eastAsia" w:ascii="Times New Roman" w:hAnsi="Times New Roman" w:eastAsia="方正仿宋简体"/>
          <w:color w:val="000000" w:themeColor="text1"/>
          <w:sz w:val="32"/>
          <w:szCs w:val="32"/>
          <w14:textFill>
            <w14:solidFill>
              <w14:schemeClr w14:val="tx1"/>
            </w14:solidFill>
          </w14:textFill>
        </w:rPr>
        <w:t xml:space="preserve"> 成都市新能源汽车及充电设施监测监管平台承担全市新能源汽车及充电设施基础信息收集、运营数据实时监测和监管、配建比例落实核查、充电站现场巡查等职责；为相关政府部门开展行业管理、政策制定、补贴发放等提供技术服务及数据支撑；提升新能源汽车用户使用体验，为公众提供全市充电基础设施信息查询、导航、充电等便民服务。</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第三十条</w:t>
      </w:r>
      <w:r>
        <w:rPr>
          <w:rFonts w:hint="eastAsia" w:ascii="Times New Roman" w:hAnsi="Times New Roman" w:eastAsia="方正仿宋简体"/>
          <w:color w:val="000000" w:themeColor="text1"/>
          <w:sz w:val="32"/>
          <w:szCs w:val="32"/>
          <w14:textFill>
            <w14:solidFill>
              <w14:schemeClr w14:val="tx1"/>
            </w14:solidFill>
          </w14:textFill>
        </w:rPr>
        <w:t xml:space="preserve"> 成都</w:t>
      </w:r>
      <w:r>
        <w:rPr>
          <w:rFonts w:hint="eastAsia" w:ascii="Times New Roman" w:hAnsi="Times New Roman" w:eastAsia="方正仿宋简体"/>
          <w:color w:val="000000" w:themeColor="text1"/>
          <w:sz w:val="32"/>
          <w:szCs w:val="32"/>
          <w:lang w:eastAsia="zh-CN"/>
          <w14:textFill>
            <w14:solidFill>
              <w14:schemeClr w14:val="tx1"/>
            </w14:solidFill>
          </w14:textFill>
        </w:rPr>
        <w:t>相关行业协会</w:t>
      </w:r>
      <w:r>
        <w:rPr>
          <w:rFonts w:hint="eastAsia" w:ascii="Times New Roman" w:hAnsi="Times New Roman" w:eastAsia="方正仿宋简体"/>
          <w:color w:val="000000" w:themeColor="text1"/>
          <w:sz w:val="32"/>
          <w:szCs w:val="32"/>
          <w14:textFill>
            <w14:solidFill>
              <w14:schemeClr w14:val="tx1"/>
            </w14:solidFill>
          </w14:textFill>
        </w:rPr>
        <w:t>协助政府部门制定、落实行业发展规划和产业政策，收集汇总其他城市的先进做法和经验，做好政策咨询工作。收集、反映行业意见建议和诉求，开展安全宣传培训，引导监督企业依法依规开展建设经营活动。</w:t>
      </w:r>
    </w:p>
    <w:p>
      <w:pPr>
        <w:pStyle w:val="24"/>
        <w:numPr>
          <w:ilvl w:val="0"/>
          <w:numId w:val="1"/>
        </w:numPr>
        <w:spacing w:line="560" w:lineRule="exact"/>
        <w:ind w:firstLineChars="0"/>
        <w:jc w:val="center"/>
        <w:outlineLvl w:val="0"/>
        <w:rPr>
          <w:rFonts w:ascii="Times New Roman" w:hAnsi="Times New Roman" w:eastAsia="黑体"/>
          <w:b/>
          <w:color w:val="000000" w:themeColor="text1"/>
          <w:sz w:val="32"/>
          <w:szCs w:val="32"/>
          <w14:textFill>
            <w14:solidFill>
              <w14:schemeClr w14:val="tx1"/>
            </w14:solidFill>
          </w14:textFill>
        </w:rPr>
      </w:pPr>
      <w:r>
        <w:rPr>
          <w:rFonts w:hint="eastAsia" w:ascii="Times New Roman" w:hAnsi="Times New Roman" w:eastAsia="黑体"/>
          <w:b/>
          <w:color w:val="000000" w:themeColor="text1"/>
          <w:sz w:val="32"/>
          <w:szCs w:val="32"/>
          <w14:textFill>
            <w14:solidFill>
              <w14:schemeClr w14:val="tx1"/>
            </w14:solidFill>
          </w14:textFill>
        </w:rPr>
        <w:t>附则</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hint="eastAsia" w:ascii="方正楷体简体" w:hAnsi="方正楷体简体" w:eastAsia="方正楷体简体" w:cs="方正楷体简体"/>
          <w:color w:val="000000" w:themeColor="text1"/>
          <w:sz w:val="32"/>
          <w:szCs w:val="32"/>
          <w14:textFill>
            <w14:solidFill>
              <w14:schemeClr w14:val="tx1"/>
            </w14:solidFill>
          </w14:textFill>
        </w:rPr>
        <w:t>第三十一条</w:t>
      </w:r>
      <w:r>
        <w:rPr>
          <w:rFonts w:hint="eastAsia" w:ascii="Times New Roman" w:hAnsi="Times New Roman" w:eastAsia="方正仿宋简体"/>
          <w:color w:val="000000" w:themeColor="text1"/>
          <w:sz w:val="32"/>
          <w:szCs w:val="32"/>
          <w14:textFill>
            <w14:solidFill>
              <w14:schemeClr w14:val="tx1"/>
            </w14:solidFill>
          </w14:textFill>
        </w:rPr>
        <w:t xml:space="preserve"> </w:t>
      </w:r>
      <w:r>
        <w:rPr>
          <w:rFonts w:ascii="Times New Roman" w:hAnsi="Times New Roman" w:eastAsia="方正仿宋简体"/>
          <w:color w:val="000000" w:themeColor="text1"/>
          <w:sz w:val="32"/>
          <w:szCs w:val="32"/>
          <w14:textFill>
            <w14:solidFill>
              <w14:schemeClr w14:val="tx1"/>
            </w14:solidFill>
          </w14:textFill>
        </w:rPr>
        <w:t>本办法由</w:t>
      </w:r>
      <w:r>
        <w:rPr>
          <w:rFonts w:hint="eastAsia" w:ascii="Times New Roman" w:hAnsi="Times New Roman" w:eastAsia="方正仿宋简体"/>
          <w:color w:val="000000" w:themeColor="text1"/>
          <w:sz w:val="32"/>
          <w:szCs w:val="32"/>
          <w:lang w:eastAsia="zh-CN"/>
          <w14:textFill>
            <w14:solidFill>
              <w14:schemeClr w14:val="tx1"/>
            </w14:solidFill>
          </w14:textFill>
        </w:rPr>
        <w:t>市经信局</w:t>
      </w:r>
      <w:r>
        <w:rPr>
          <w:rFonts w:ascii="Times New Roman" w:hAnsi="Times New Roman" w:eastAsia="方正仿宋简体"/>
          <w:color w:val="000000" w:themeColor="text1"/>
          <w:sz w:val="32"/>
          <w:szCs w:val="32"/>
          <w14:textFill>
            <w14:solidFill>
              <w14:schemeClr w14:val="tx1"/>
            </w14:solidFill>
          </w14:textFill>
        </w:rPr>
        <w:t>负责解释。</w:t>
      </w:r>
    </w:p>
    <w:p>
      <w:pPr>
        <w:tabs>
          <w:tab w:val="left" w:pos="1883"/>
        </w:tabs>
        <w:adjustRightInd w:val="0"/>
        <w:snapToGrid w:val="0"/>
        <w:spacing w:line="62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楷体简体"/>
          <w:color w:val="000000" w:themeColor="text1"/>
          <w:sz w:val="32"/>
          <w:szCs w:val="32"/>
          <w14:textFill>
            <w14:solidFill>
              <w14:schemeClr w14:val="tx1"/>
            </w14:solidFill>
          </w14:textFill>
        </w:rPr>
        <w:t>第三十二条</w:t>
      </w:r>
      <w:r>
        <w:rPr>
          <w:rFonts w:ascii="Times New Roman" w:hAnsi="Times New Roman" w:eastAsia="方正仿宋简体"/>
          <w:color w:val="000000" w:themeColor="text1"/>
          <w:sz w:val="32"/>
          <w:szCs w:val="32"/>
          <w14:textFill>
            <w14:solidFill>
              <w14:schemeClr w14:val="tx1"/>
            </w14:solidFill>
          </w14:textFill>
        </w:rPr>
        <w:t xml:space="preserve"> </w:t>
      </w:r>
      <w:r>
        <w:rPr>
          <w:rFonts w:ascii="Times New Roman" w:hAnsi="Times New Roman" w:eastAsia="方正仿宋简体"/>
          <w:color w:val="000000" w:themeColor="text1"/>
          <w:sz w:val="32"/>
          <w:szCs w:val="36"/>
          <w14:textFill>
            <w14:solidFill>
              <w14:schemeClr w14:val="tx1"/>
            </w14:solidFill>
          </w14:textFill>
        </w:rPr>
        <w:t>本办法自发布之日起30日后施行，有效期至2025年12月31日。</w:t>
      </w:r>
      <w:r>
        <w:rPr>
          <w:rFonts w:ascii="Times New Roman" w:hAnsi="Times New Roman" w:eastAsia="方正仿宋简体"/>
          <w:color w:val="000000" w:themeColor="text1"/>
          <w:sz w:val="32"/>
          <w:szCs w:val="32"/>
          <w14:textFill>
            <w14:solidFill>
              <w14:schemeClr w14:val="tx1"/>
            </w14:solidFill>
          </w14:textFill>
        </w:rPr>
        <w:t>本办法施行过程中，国家、四川省和本市出台新规定的，从其规定。</w:t>
      </w:r>
    </w:p>
    <w:p>
      <w:pPr>
        <w:tabs>
          <w:tab w:val="left" w:pos="1883"/>
        </w:tabs>
        <w:adjustRightInd w:val="0"/>
        <w:snapToGrid w:val="0"/>
        <w:spacing w:line="620" w:lineRule="exact"/>
        <w:ind w:left="1984" w:leftChars="305" w:hanging="1344" w:hangingChars="420"/>
        <w:jc w:val="left"/>
        <w:rPr>
          <w:rFonts w:hint="eastAsia" w:ascii="Times New Roman" w:hAnsi="Times New Roman" w:eastAsia="方正仿宋简体"/>
          <w:color w:val="000000" w:themeColor="text1"/>
          <w:sz w:val="32"/>
          <w:szCs w:val="32"/>
          <w14:textFill>
            <w14:solidFill>
              <w14:schemeClr w14:val="tx1"/>
            </w14:solidFill>
          </w14:textFill>
        </w:rPr>
      </w:pPr>
    </w:p>
    <w:p>
      <w:pPr>
        <w:tabs>
          <w:tab w:val="left" w:pos="1883"/>
        </w:tabs>
        <w:adjustRightInd w:val="0"/>
        <w:snapToGrid w:val="0"/>
        <w:spacing w:line="620" w:lineRule="exact"/>
        <w:ind w:left="1984" w:leftChars="305" w:hanging="1344" w:hangingChars="420"/>
        <w:jc w:val="left"/>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附件：1.成都市电动汽车充电设施项目备案及监督管理细则</w:t>
      </w:r>
    </w:p>
    <w:p>
      <w:pPr>
        <w:numPr>
          <w:ilvl w:val="0"/>
          <w:numId w:val="3"/>
        </w:numPr>
        <w:tabs>
          <w:tab w:val="left" w:pos="1883"/>
          <w:tab w:val="clear" w:pos="312"/>
        </w:tabs>
        <w:adjustRightInd w:val="0"/>
        <w:snapToGrid w:val="0"/>
        <w:spacing w:line="620" w:lineRule="exact"/>
        <w:ind w:firstLine="1600" w:firstLineChars="500"/>
        <w:rPr>
          <w:rFonts w:ascii="Times New Roman" w:hAnsi="Times New Roman" w:eastAsia="方正仿宋简体"/>
          <w:color w:val="000000" w:themeColor="text1"/>
          <w:sz w:val="32"/>
          <w:szCs w:val="32"/>
          <w14:textFill>
            <w14:solidFill>
              <w14:schemeClr w14:val="tx1"/>
            </w14:solidFill>
          </w14:textFill>
        </w:rPr>
      </w:pPr>
      <w:r>
        <w:rPr>
          <w:rFonts w:hint="eastAsia" w:ascii="Times New Roman" w:hAnsi="Times New Roman" w:eastAsia="方正仿宋简体"/>
          <w:color w:val="000000" w:themeColor="text1"/>
          <w:sz w:val="32"/>
          <w:szCs w:val="32"/>
          <w14:textFill>
            <w14:solidFill>
              <w14:schemeClr w14:val="tx1"/>
            </w14:solidFill>
          </w14:textFill>
        </w:rPr>
        <w:t>成都市电动汽车充电设施验收管理细则</w:t>
      </w:r>
    </w:p>
    <w:p>
      <w:pPr>
        <w:widowControl w:val="0"/>
        <w:numPr>
          <w:ilvl w:val="0"/>
          <w:numId w:val="0"/>
        </w:numPr>
        <w:tabs>
          <w:tab w:val="left" w:pos="1883"/>
        </w:tabs>
        <w:adjustRightInd w:val="0"/>
        <w:snapToGrid w:val="0"/>
        <w:spacing w:line="620" w:lineRule="exact"/>
        <w:jc w:val="both"/>
        <w:rPr>
          <w:rFonts w:hint="eastAsia" w:ascii="Times New Roman" w:hAnsi="Times New Roman" w:eastAsia="方正仿宋简体"/>
          <w:color w:val="000000" w:themeColor="text1"/>
          <w:sz w:val="32"/>
          <w:szCs w:val="32"/>
          <w14:textFill>
            <w14:solidFill>
              <w14:schemeClr w14:val="tx1"/>
            </w14:solidFill>
          </w14:textFill>
        </w:rPr>
      </w:pPr>
    </w:p>
    <w:p>
      <w:pPr>
        <w:widowControl w:val="0"/>
        <w:numPr>
          <w:ilvl w:val="0"/>
          <w:numId w:val="0"/>
        </w:numPr>
        <w:tabs>
          <w:tab w:val="left" w:pos="1883"/>
        </w:tabs>
        <w:adjustRightInd w:val="0"/>
        <w:snapToGrid w:val="0"/>
        <w:spacing w:line="620" w:lineRule="exact"/>
        <w:jc w:val="both"/>
        <w:rPr>
          <w:rFonts w:hint="eastAsia" w:ascii="Times New Roman" w:hAnsi="Times New Roman" w:eastAsia="方正仿宋简体"/>
          <w:color w:val="000000" w:themeColor="text1"/>
          <w:sz w:val="32"/>
          <w:szCs w:val="32"/>
          <w14:textFill>
            <w14:solidFill>
              <w14:schemeClr w14:val="tx1"/>
            </w14:solidFill>
          </w14:textFill>
        </w:rPr>
      </w:pPr>
    </w:p>
    <w:p>
      <w:pPr>
        <w:tabs>
          <w:tab w:val="left" w:pos="1883"/>
        </w:tabs>
        <w:adjustRightInd w:val="0"/>
        <w:snapToGrid w:val="0"/>
        <w:spacing w:line="620" w:lineRule="exact"/>
        <w:rPr>
          <w:rFonts w:ascii="Times New Roman" w:hAnsi="Times New Roman" w:eastAsia="方正黑体简体"/>
          <w:color w:val="000000" w:themeColor="text1"/>
          <w:sz w:val="32"/>
          <w:szCs w:val="32"/>
          <w14:textFill>
            <w14:solidFill>
              <w14:schemeClr w14:val="tx1"/>
            </w14:solidFill>
          </w14:textFill>
        </w:rPr>
      </w:pPr>
      <w:r>
        <w:rPr>
          <w:rFonts w:ascii="Times New Roman" w:hAnsi="Times New Roman" w:eastAsia="方正黑体简体"/>
          <w:color w:val="000000" w:themeColor="text1"/>
          <w:sz w:val="32"/>
          <w:szCs w:val="32"/>
          <w14:textFill>
            <w14:solidFill>
              <w14:schemeClr w14:val="tx1"/>
            </w14:solidFill>
          </w14:textFill>
        </w:rPr>
        <w:t>附件1</w:t>
      </w:r>
    </w:p>
    <w:p>
      <w:pPr>
        <w:snapToGrid w:val="0"/>
        <w:spacing w:line="600" w:lineRule="exact"/>
        <w:rPr>
          <w:rFonts w:eastAsia="方正小标宋简体"/>
          <w:color w:val="000000" w:themeColor="text1"/>
          <w:sz w:val="44"/>
          <w:szCs w:val="44"/>
          <w14:textFill>
            <w14:solidFill>
              <w14:schemeClr w14:val="tx1"/>
            </w14:solidFill>
          </w14:textFill>
        </w:rPr>
      </w:pPr>
    </w:p>
    <w:p>
      <w:pPr>
        <w:snapToGrid w:val="0"/>
        <w:spacing w:line="60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成都市电动汽车充电设施项目备案及监督</w:t>
      </w:r>
    </w:p>
    <w:p>
      <w:pPr>
        <w:snapToGrid w:val="0"/>
        <w:spacing w:line="60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管理细则</w:t>
      </w:r>
    </w:p>
    <w:p>
      <w:pPr>
        <w:topLinePunct/>
        <w:adjustRightInd w:val="0"/>
        <w:snapToGrid w:val="0"/>
        <w:spacing w:line="600" w:lineRule="exact"/>
        <w:ind w:firstLine="640" w:firstLineChars="200"/>
        <w:rPr>
          <w:rFonts w:eastAsia="方正仿宋简体"/>
          <w:color w:val="000000" w:themeColor="text1"/>
          <w:sz w:val="32"/>
          <w:szCs w:val="32"/>
          <w14:textFill>
            <w14:solidFill>
              <w14:schemeClr w14:val="tx1"/>
            </w14:solidFill>
          </w14:textFill>
        </w:rPr>
      </w:pPr>
    </w:p>
    <w:p>
      <w:pPr>
        <w:topLinePunct/>
        <w:adjustRightInd w:val="0"/>
        <w:snapToGrid w:val="0"/>
        <w:spacing w:line="600" w:lineRule="exact"/>
        <w:ind w:firstLine="640" w:firstLineChars="200"/>
        <w:rPr>
          <w:rFonts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为进一步压实主体责任，提高事中事后监管效能，扩大社会监督，根据《四川省公（专）用充电基础设施建设运营管理暂行办法》（川发改能源规〔2020〕380号）等文件</w:t>
      </w:r>
      <w:r>
        <w:rPr>
          <w:rFonts w:hint="eastAsia" w:eastAsia="方正仿宋简体"/>
          <w:color w:val="000000" w:themeColor="text1"/>
          <w:sz w:val="32"/>
          <w:szCs w:val="32"/>
          <w14:textFill>
            <w14:solidFill>
              <w14:schemeClr w14:val="tx1"/>
            </w14:solidFill>
          </w14:textFill>
        </w:rPr>
        <w:t>精神，结合成都市实际，市级充电设施行业主管部门对充电基础设施实行项目备案及监督管理制度。</w:t>
      </w:r>
    </w:p>
    <w:p>
      <w:pPr>
        <w:topLinePunct/>
        <w:adjustRightInd w:val="0"/>
        <w:snapToGrid w:val="0"/>
        <w:spacing w:line="600" w:lineRule="exact"/>
        <w:ind w:firstLine="640" w:firstLineChars="200"/>
        <w:rPr>
          <w:rFonts w:hint="eastAsia" w:ascii="方正黑体简体" w:hAnsi="黑体" w:eastAsia="方正黑体简体" w:cs="黑体"/>
          <w:color w:val="000000" w:themeColor="text1"/>
          <w:sz w:val="32"/>
          <w:szCs w:val="32"/>
          <w14:textFill>
            <w14:solidFill>
              <w14:schemeClr w14:val="tx1"/>
            </w14:solidFill>
          </w14:textFill>
        </w:rPr>
      </w:pPr>
      <w:r>
        <w:rPr>
          <w:rFonts w:hint="eastAsia" w:ascii="方正黑体简体" w:hAnsi="黑体" w:eastAsia="方正黑体简体" w:cs="黑体"/>
          <w:color w:val="000000" w:themeColor="text1"/>
          <w:sz w:val="32"/>
          <w:szCs w:val="32"/>
          <w14:textFill>
            <w14:solidFill>
              <w14:schemeClr w14:val="tx1"/>
            </w14:solidFill>
          </w14:textFill>
        </w:rPr>
        <w:t>一、建设备案</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充电设施建设单位在成都行政区域范围内拟投资建设公、专用充电设施（含换电设施，下同），按照以下流程及要求备案。</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（一）充电设施建设单位应将3个月内拟开工建设的公（专）用充电设施和居民小区充电设施项目基本信息（见附件1-1）报送项目所在地区（市）县经信（能源）主管部门。</w:t>
      </w:r>
    </w:p>
    <w:p>
      <w:pPr>
        <w:topLinePunct/>
        <w:adjustRightInd w:val="0"/>
        <w:snapToGrid w:val="0"/>
        <w:spacing w:line="600" w:lineRule="exact"/>
        <w:ind w:firstLine="640" w:firstLineChars="200"/>
        <w:rPr>
          <w:rFonts w:ascii="Times New Roman" w:hAnsi="Times New Roman" w:eastAsia="方正仿宋简体"/>
          <w:color w:val="auto"/>
          <w:sz w:val="32"/>
          <w:szCs w:val="32"/>
        </w:rPr>
      </w:pPr>
      <w:r>
        <w:rPr>
          <w:rFonts w:ascii="Times New Roman" w:hAnsi="Times New Roman" w:eastAsia="方正仿宋简体"/>
          <w:color w:val="auto"/>
          <w:sz w:val="32"/>
          <w:szCs w:val="32"/>
        </w:rPr>
        <w:t>（二）各区（市）县经信（能源）主管部门</w:t>
      </w:r>
      <w:r>
        <w:rPr>
          <w:rFonts w:hint="eastAsia" w:ascii="Times New Roman" w:hAnsi="Times New Roman" w:eastAsia="方正仿宋简体"/>
          <w:color w:val="auto"/>
          <w:sz w:val="32"/>
          <w:szCs w:val="32"/>
          <w:lang w:eastAsia="zh-CN"/>
        </w:rPr>
        <w:t>按照《关于转发省发展改革委</w:t>
      </w:r>
      <w:r>
        <w:rPr>
          <w:rFonts w:hint="eastAsia" w:ascii="Times New Roman" w:hAnsi="Times New Roman" w:eastAsia="方正仿宋简体"/>
          <w:color w:val="auto"/>
          <w:sz w:val="32"/>
          <w:szCs w:val="32"/>
          <w:lang w:val="en-US" w:eastAsia="zh-CN"/>
        </w:rPr>
        <w:t xml:space="preserve"> 省能源局〈四川省公（专）用充电基础设施建设运营管理暂行办法〉的通知</w:t>
      </w:r>
      <w:r>
        <w:rPr>
          <w:rFonts w:hint="eastAsia" w:ascii="Times New Roman" w:hAnsi="Times New Roman" w:eastAsia="方正仿宋简体"/>
          <w:color w:val="auto"/>
          <w:sz w:val="32"/>
          <w:szCs w:val="32"/>
          <w:lang w:eastAsia="zh-CN"/>
        </w:rPr>
        <w:t>》（成经信能源</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2020</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82号</w:t>
      </w:r>
      <w:r>
        <w:rPr>
          <w:rFonts w:hint="eastAsia" w:ascii="Times New Roman" w:hAnsi="Times New Roman" w:eastAsia="方正仿宋简体"/>
          <w:color w:val="auto"/>
          <w:sz w:val="32"/>
          <w:szCs w:val="32"/>
          <w:lang w:eastAsia="zh-CN"/>
        </w:rPr>
        <w:t>）执行</w:t>
      </w:r>
      <w:r>
        <w:rPr>
          <w:rFonts w:ascii="Times New Roman" w:hAnsi="Times New Roman" w:eastAsia="方正仿宋简体"/>
          <w:color w:val="auto"/>
          <w:sz w:val="32"/>
          <w:szCs w:val="32"/>
        </w:rPr>
        <w:t>。</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w:t>
      </w:r>
      <w:r>
        <w:rPr>
          <w:rFonts w:hint="eastAsia" w:ascii="Times New Roman" w:hAnsi="Times New Roman" w:eastAsia="方正仿宋简体"/>
          <w:color w:val="000000" w:themeColor="text1"/>
          <w:sz w:val="32"/>
          <w:szCs w:val="32"/>
          <w:lang w:eastAsia="zh-CN"/>
          <w14:textFill>
            <w14:solidFill>
              <w14:schemeClr w14:val="tx1"/>
            </w14:solidFill>
          </w14:textFill>
        </w:rPr>
        <w:t>三</w:t>
      </w:r>
      <w:r>
        <w:rPr>
          <w:rFonts w:ascii="Times New Roman" w:hAnsi="Times New Roman" w:eastAsia="方正仿宋简体"/>
          <w:color w:val="000000" w:themeColor="text1"/>
          <w:sz w:val="32"/>
          <w:szCs w:val="32"/>
          <w14:textFill>
            <w14:solidFill>
              <w14:schemeClr w14:val="tx1"/>
            </w14:solidFill>
          </w14:textFill>
        </w:rPr>
        <w:t>）企业投资项目备案完成后，建设单位按照《四川省企业投资项目核准和备案管理办法》（川办发〔2018〕23号）有关规定，通过四川省投资项目在线审批监管平台履行告知义务。</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w:t>
      </w:r>
      <w:r>
        <w:rPr>
          <w:rFonts w:hint="eastAsia" w:ascii="Times New Roman" w:hAnsi="Times New Roman" w:eastAsia="方正仿宋简体"/>
          <w:color w:val="000000" w:themeColor="text1"/>
          <w:sz w:val="32"/>
          <w:szCs w:val="32"/>
          <w:lang w:eastAsia="zh-CN"/>
          <w14:textFill>
            <w14:solidFill>
              <w14:schemeClr w14:val="tx1"/>
            </w14:solidFill>
          </w14:textFill>
        </w:rPr>
        <w:t>四</w:t>
      </w:r>
      <w:r>
        <w:rPr>
          <w:rFonts w:ascii="Times New Roman" w:hAnsi="Times New Roman" w:eastAsia="方正仿宋简体"/>
          <w:color w:val="000000" w:themeColor="text1"/>
          <w:sz w:val="32"/>
          <w:szCs w:val="32"/>
          <w14:textFill>
            <w14:solidFill>
              <w14:schemeClr w14:val="tx1"/>
            </w14:solidFill>
          </w14:textFill>
        </w:rPr>
        <w:t>）各区（市）县经信（能源）主管部门应当做好充电设施项目的建设指导和进度跟踪工作，对于备案3个月内未开工建设的项目及时了解情况，对出现变更的项目及时调整和反馈备案信息至市级充电设施行业主管部门。</w:t>
      </w:r>
    </w:p>
    <w:p>
      <w:pPr>
        <w:topLinePunct/>
        <w:adjustRightInd w:val="0"/>
        <w:snapToGrid w:val="0"/>
        <w:spacing w:line="60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ascii="方正黑体简体" w:hAnsi="黑体" w:eastAsia="方正黑体简体" w:cs="黑体"/>
          <w:color w:val="000000" w:themeColor="text1"/>
          <w:sz w:val="32"/>
          <w:szCs w:val="32"/>
          <w14:textFill>
            <w14:solidFill>
              <w14:schemeClr w14:val="tx1"/>
            </w14:solidFill>
          </w14:textFill>
        </w:rPr>
        <w:t>二、投运备案</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充电设施项目竣工后，建设单位应按照以下流程及要求办理投运备案。</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充电设施项目投运前，建设单位应组织竣工验收，形成竣工验收报告。面向社会开放的充电设施，建设单位还应按照《成都市电动汽车充电基础设施验收管理细则》的要求委托具备CMA资质的第三方机构进行综合验收。</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（二）项目完成验收后，建设单位按照《关于成都市新能源汽车及充电设施接入市级监测监管平台的通知》（成新汽办〔2018〕10号）要求，完成市级监测监管平台接入工作，市级监测监管平台负责出具接入证明。</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（三）完成市级监测监管平台接入后，建设单位通过平台进行线上投运备案，并保留相应的纸质材料备查。投运备案的材料包括：</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1.企业名称、通信地址、邮政编码、联系电话、电子邮箱等信息；</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2.充电设施项目地址、外电容量、充电设备数量、型号规格和功率等信息；</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3.市级监测监管平台出具的充电设施接入证明；</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4.项目竣工验收报告，面向社会开放的充电设施还应由具备CMA资质的第三方机构出具的综合验收报告；</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5.新、改、扩地下、半地下停车场装机功率大于1200KW的集中式公共充电设施以及设置在加油站、加气站、燃气供配站等危险化学品生产、经营、储存使用场所及附近的充电设施应按照相关要求提供安全预评价报告、安全设施设计和安全验收评价报告。</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（四）企业对其备案信息的真实性、合法性、完整性负责。企业发现其公示的信息不准确的，应当及时更正，更正前后的信息应当同时公示。</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（五）公民、法人或者其他组织发现企业公示的信息虚假的，可向相关主管部门举报，市级监测监管平台应协助相关政府部门核查相关信息并予以处理，并将处理结果公示。</w:t>
      </w:r>
    </w:p>
    <w:p>
      <w:pPr>
        <w:topLinePunct/>
        <w:adjustRightInd w:val="0"/>
        <w:snapToGrid w:val="0"/>
        <w:spacing w:line="600" w:lineRule="exact"/>
        <w:ind w:firstLine="640" w:firstLineChars="200"/>
        <w:rPr>
          <w:rFonts w:ascii="Times New Roman" w:hAnsi="Times New Roman" w:eastAsia="方正黑体简体"/>
          <w:color w:val="000000" w:themeColor="text1"/>
          <w:sz w:val="32"/>
          <w:szCs w:val="32"/>
          <w14:textFill>
            <w14:solidFill>
              <w14:schemeClr w14:val="tx1"/>
            </w14:solidFill>
          </w14:textFill>
        </w:rPr>
      </w:pPr>
      <w:r>
        <w:rPr>
          <w:rFonts w:ascii="Times New Roman" w:hAnsi="Times New Roman" w:eastAsia="方正黑体简体"/>
          <w:color w:val="000000" w:themeColor="text1"/>
          <w:sz w:val="32"/>
          <w:szCs w:val="32"/>
          <w14:textFill>
            <w14:solidFill>
              <w14:schemeClr w14:val="tx1"/>
            </w14:solidFill>
          </w14:textFill>
        </w:rPr>
        <w:t>三、监督管理</w:t>
      </w:r>
    </w:p>
    <w:p>
      <w:pPr>
        <w:topLinePunct/>
        <w:adjustRightInd w:val="0"/>
        <w:snapToGrid w:val="0"/>
        <w:spacing w:line="600" w:lineRule="exact"/>
        <w:ind w:firstLine="640" w:firstLineChars="200"/>
        <w:rPr>
          <w:rFonts w:ascii="Times New Roman" w:hAnsi="Times New Roman" w:eastAsia="方正小标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一）市级监测监管平台负责牵头组织每年全市充电设施的监督管理工作，制定全市充电设施基础信息收集、运营数据监管、场站巡查、配套比例落实核查、系统软硬件升级等工作计划和方案，协助相关部门测算相应的资金安排。</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二）监督检查采取资料核查、实地检查、设备检测相结合的方式，按照“双随机、一公开”的原则进行。重点进行资料完整性审核、现场情况真实性和设备可靠性抽查，资料审核比例为100%，新建场站现场抽查比例不低于30%，既有场站现场抽查比例不低于10%。</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（三）市级充电设施行业主管部门按照公平规范的原则对充电基础设施随机摇号，确定抽查的企业和场站，组织对充电设施项目的监督检查。</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（四）对企业公示的信息开展监督检查或者根据举报进行核查，企业应当配合，接受询问调查，如实反映情况，提供相关材料。</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五）监督检查结论分为通过、自行整改、书面整改、实地核验、不通过五种类型。对存在的问题，企业应积极整改，对自行整改、书面整改的在下次监督检查中进行验证；对实地核验和不通过的结论需限期整改，并实施整改验证。</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（六）对不配合信息核实或存在大量问题且整改不通过的企业，市级充电设施行业主管部门将对企业进行约谈或向社会进行公示。</w:t>
      </w:r>
    </w:p>
    <w:p>
      <w:pPr>
        <w:topLinePunct/>
        <w:adjustRightInd w:val="0"/>
        <w:snapToGrid w:val="0"/>
        <w:spacing w:line="600" w:lineRule="exact"/>
        <w:ind w:firstLine="640" w:firstLineChars="200"/>
        <w:rPr>
          <w:rFonts w:ascii="Times New Roman" w:hAnsi="Times New Roman" w:eastAsia="方正黑体简体"/>
          <w:color w:val="000000" w:themeColor="text1"/>
          <w:sz w:val="32"/>
          <w:szCs w:val="32"/>
          <w14:textFill>
            <w14:solidFill>
              <w14:schemeClr w14:val="tx1"/>
            </w14:solidFill>
          </w14:textFill>
        </w:rPr>
      </w:pPr>
      <w:r>
        <w:rPr>
          <w:rFonts w:ascii="Times New Roman" w:hAnsi="Times New Roman" w:eastAsia="方正黑体简体"/>
          <w:color w:val="000000" w:themeColor="text1"/>
          <w:sz w:val="32"/>
          <w:szCs w:val="32"/>
          <w14:textFill>
            <w14:solidFill>
              <w14:schemeClr w14:val="tx1"/>
            </w14:solidFill>
          </w14:textFill>
        </w:rPr>
        <w:t>四、职责分工</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各区（市）县经信（能源）主管部门应建立约束机制，在充电设施新建、扩建、改建等工作中，将企业备案公示情况作为重要考量因素，</w:t>
      </w:r>
      <w:r>
        <w:rPr>
          <w:rFonts w:hint="eastAsia" w:ascii="Times New Roman" w:hAnsi="Times New Roman" w:eastAsia="方正仿宋简体"/>
          <w:color w:val="000000" w:themeColor="text1"/>
          <w:sz w:val="32"/>
          <w:szCs w:val="32"/>
          <w:lang w:val="en-US" w:eastAsia="zh-Hans"/>
          <w14:textFill>
            <w14:solidFill>
              <w14:schemeClr w14:val="tx1"/>
            </w14:solidFill>
          </w14:textFill>
        </w:rPr>
        <w:t>探索</w:t>
      </w:r>
      <w:r>
        <w:rPr>
          <w:rFonts w:ascii="Times New Roman" w:hAnsi="Times New Roman" w:eastAsia="方正仿宋简体"/>
          <w:color w:val="000000" w:themeColor="text1"/>
          <w:sz w:val="32"/>
          <w:szCs w:val="32"/>
          <w14:textFill>
            <w14:solidFill>
              <w14:schemeClr w14:val="tx1"/>
            </w14:solidFill>
          </w14:textFill>
        </w:rPr>
        <w:t>对监督检查</w:t>
      </w:r>
      <w:r>
        <w:rPr>
          <w:rFonts w:hint="eastAsia" w:ascii="Times New Roman" w:hAnsi="Times New Roman" w:eastAsia="方正仿宋简体"/>
          <w:color w:val="000000" w:themeColor="text1"/>
          <w:sz w:val="32"/>
          <w:szCs w:val="32"/>
          <w:lang w:val="en-US" w:eastAsia="zh-Hans"/>
          <w14:textFill>
            <w14:solidFill>
              <w14:schemeClr w14:val="tx1"/>
            </w14:solidFill>
          </w14:textFill>
        </w:rPr>
        <w:t>工作</w:t>
      </w:r>
      <w:r>
        <w:rPr>
          <w:rFonts w:ascii="Times New Roman" w:hAnsi="Times New Roman" w:eastAsia="方正仿宋简体"/>
          <w:color w:val="000000" w:themeColor="text1"/>
          <w:sz w:val="32"/>
          <w:szCs w:val="32"/>
          <w14:textFill>
            <w14:solidFill>
              <w14:schemeClr w14:val="tx1"/>
            </w14:solidFill>
          </w14:textFill>
        </w:rPr>
        <w:t>不予配合</w:t>
      </w:r>
      <w:r>
        <w:rPr>
          <w:rFonts w:hint="eastAsia" w:ascii="Times New Roman" w:hAnsi="Times New Roman" w:eastAsia="方正仿宋简体"/>
          <w:color w:val="000000" w:themeColor="text1"/>
          <w:sz w:val="32"/>
          <w:szCs w:val="32"/>
          <w:lang w:val="en-US" w:eastAsia="zh-Hans"/>
          <w14:textFill>
            <w14:solidFill>
              <w14:schemeClr w14:val="tx1"/>
            </w14:solidFill>
          </w14:textFill>
        </w:rPr>
        <w:t>或违反规定</w:t>
      </w:r>
      <w:r>
        <w:rPr>
          <w:rFonts w:ascii="Times New Roman" w:hAnsi="Times New Roman" w:eastAsia="方正仿宋简体"/>
          <w:color w:val="000000" w:themeColor="text1"/>
          <w:sz w:val="32"/>
          <w:szCs w:val="32"/>
          <w14:textFill>
            <w14:solidFill>
              <w14:schemeClr w14:val="tx1"/>
            </w14:solidFill>
          </w14:textFill>
        </w:rPr>
        <w:t>情节严重的企业</w:t>
      </w:r>
      <w:r>
        <w:rPr>
          <w:rFonts w:hint="eastAsia" w:ascii="Times New Roman" w:hAnsi="Times New Roman" w:eastAsia="方正仿宋简体"/>
          <w:color w:val="000000" w:themeColor="text1"/>
          <w:sz w:val="32"/>
          <w:szCs w:val="32"/>
          <w:lang w:val="en-US" w:eastAsia="zh-Hans"/>
          <w14:textFill>
            <w14:solidFill>
              <w14:schemeClr w14:val="tx1"/>
            </w14:solidFill>
          </w14:textFill>
        </w:rPr>
        <w:t>实施</w:t>
      </w:r>
      <w:r>
        <w:rPr>
          <w:rFonts w:hint="eastAsia" w:ascii="Times New Roman" w:hAnsi="Times New Roman" w:eastAsia="方正仿宋简体"/>
          <w:color w:val="000000" w:themeColor="text1"/>
          <w:sz w:val="32"/>
          <w:szCs w:val="32"/>
          <w:lang w:eastAsia="zh-CN"/>
          <w14:textFill>
            <w14:solidFill>
              <w14:schemeClr w14:val="tx1"/>
            </w14:solidFill>
          </w14:textFill>
        </w:rPr>
        <w:t>信用联合惩</w:t>
      </w:r>
      <w:r>
        <w:rPr>
          <w:rFonts w:hint="eastAsia" w:ascii="Times New Roman" w:hAnsi="Times New Roman" w:eastAsia="方正仿宋简体"/>
          <w:color w:val="000000" w:themeColor="text1"/>
          <w:sz w:val="32"/>
          <w:szCs w:val="32"/>
          <w:lang w:val="en-US" w:eastAsia="zh-Hans"/>
          <w14:textFill>
            <w14:solidFill>
              <w14:schemeClr w14:val="tx1"/>
            </w14:solidFill>
          </w14:textFill>
        </w:rPr>
        <w:t>戒的工作机制</w:t>
      </w:r>
      <w:r>
        <w:rPr>
          <w:rFonts w:ascii="Times New Roman" w:hAnsi="Times New Roman" w:eastAsia="方正仿宋简体"/>
          <w:color w:val="000000" w:themeColor="text1"/>
          <w:sz w:val="32"/>
          <w:szCs w:val="32"/>
          <w14:textFill>
            <w14:solidFill>
              <w14:schemeClr w14:val="tx1"/>
            </w14:solidFill>
          </w14:textFill>
        </w:rPr>
        <w:t>。</w:t>
      </w:r>
    </w:p>
    <w:p>
      <w:pPr>
        <w:topLinePunct/>
        <w:adjustRightInd w:val="0"/>
        <w:snapToGrid w:val="0"/>
        <w:spacing w:line="600" w:lineRule="exact"/>
        <w:ind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市级监测监管平台负责牵头开发和维护建设运营备案管理系统，提高工作效率并提供相应的技术支持，负责组织专业机构开展年度监督检查工作。其他部门做好相关协调配合工作。</w:t>
      </w:r>
    </w:p>
    <w:p>
      <w:pPr>
        <w:snapToGrid w:val="0"/>
        <w:spacing w:line="600" w:lineRule="exact"/>
        <w:ind w:right="-197" w:rightChars="-94" w:firstLine="640" w:firstLineChars="200"/>
        <w:rPr>
          <w:rFonts w:ascii="Times New Roman" w:hAnsi="Times New Roman" w:eastAsia="方正仿宋简体"/>
          <w:color w:val="000000" w:themeColor="text1"/>
          <w:sz w:val="32"/>
          <w:szCs w:val="32"/>
          <w14:textFill>
            <w14:solidFill>
              <w14:schemeClr w14:val="tx1"/>
            </w14:solidFill>
          </w14:textFill>
        </w:rPr>
      </w:pPr>
    </w:p>
    <w:p>
      <w:pPr>
        <w:snapToGrid w:val="0"/>
        <w:spacing w:line="600" w:lineRule="exact"/>
        <w:ind w:right="-197" w:rightChars="-94" w:firstLine="640" w:firstLineChars="200"/>
        <w:rPr>
          <w:rFonts w:ascii="Times New Roman" w:hAnsi="Times New Roman" w:eastAsia="方正仿宋简体"/>
          <w:color w:val="000000" w:themeColor="text1"/>
          <w:sz w:val="32"/>
          <w:szCs w:val="32"/>
          <w14:textFill>
            <w14:solidFill>
              <w14:schemeClr w14:val="tx1"/>
            </w14:solidFill>
          </w14:textFill>
        </w:rPr>
      </w:pPr>
      <w:r>
        <w:rPr>
          <w:rFonts w:ascii="Times New Roman" w:hAnsi="Times New Roman" w:eastAsia="方正仿宋简体"/>
          <w:color w:val="000000" w:themeColor="text1"/>
          <w:sz w:val="32"/>
          <w:szCs w:val="32"/>
          <w14:textFill>
            <w14:solidFill>
              <w14:schemeClr w14:val="tx1"/>
            </w14:solidFill>
          </w14:textFill>
        </w:rPr>
        <w:t>附件：1-1 充电基础设施项目信息备案表</w:t>
      </w:r>
    </w:p>
    <w:p>
      <w:pPr>
        <w:snapToGrid w:val="0"/>
        <w:spacing w:line="600" w:lineRule="exact"/>
        <w:ind w:right="-197" w:rightChars="-94" w:firstLine="640" w:firstLineChars="200"/>
        <w:rPr>
          <w:rFonts w:ascii="仿宋" w:hAnsi="仿宋" w:eastAsia="仿宋"/>
          <w:color w:val="000000" w:themeColor="text1"/>
          <w:sz w:val="28"/>
          <w:szCs w:val="28"/>
          <w14:textFill>
            <w14:solidFill>
              <w14:schemeClr w14:val="tx1"/>
            </w14:solidFill>
          </w14:textFill>
        </w:rPr>
        <w:sectPr>
          <w:footerReference r:id="rId3" w:type="default"/>
          <w:footerReference r:id="rId4" w:type="even"/>
          <w:pgSz w:w="11906" w:h="16838"/>
          <w:pgMar w:top="2098" w:right="1417" w:bottom="1984" w:left="1417" w:header="851" w:footer="992" w:gutter="0"/>
          <w:cols w:space="425" w:num="1"/>
          <w:docGrid w:type="lines" w:linePitch="312" w:charSpace="0"/>
        </w:sectPr>
      </w:pPr>
      <w:r>
        <w:rPr>
          <w:rFonts w:ascii="Times New Roman" w:hAnsi="Times New Roman" w:eastAsia="方正仿宋简体"/>
          <w:color w:val="000000" w:themeColor="text1"/>
          <w:sz w:val="32"/>
          <w:szCs w:val="32"/>
          <w14:textFill>
            <w14:solidFill>
              <w14:schemeClr w14:val="tx1"/>
            </w14:solidFill>
          </w14:textFill>
        </w:rPr>
        <w:t xml:space="preserve">      1-2 建设备案和投运备案流程图</w:t>
      </w:r>
    </w:p>
    <w:p>
      <w:pPr>
        <w:topLinePunct/>
        <w:adjustRightInd w:val="0"/>
        <w:snapToGrid w:val="0"/>
        <w:spacing w:line="600" w:lineRule="exact"/>
        <w:rPr>
          <w:rFonts w:ascii="Times New Roman" w:hAnsi="Times New Roman" w:eastAsia="方正黑体简体"/>
          <w:color w:val="000000" w:themeColor="text1"/>
          <w:sz w:val="32"/>
          <w:szCs w:val="32"/>
          <w14:textFill>
            <w14:solidFill>
              <w14:schemeClr w14:val="tx1"/>
            </w14:solidFill>
          </w14:textFill>
        </w:rPr>
      </w:pPr>
      <w:r>
        <w:rPr>
          <w:rFonts w:ascii="Times New Roman" w:hAnsi="Times New Roman" w:eastAsia="方正黑体简体"/>
          <w:color w:val="000000" w:themeColor="text1"/>
          <w:sz w:val="32"/>
          <w:szCs w:val="32"/>
          <w14:textFill>
            <w14:solidFill>
              <w14:schemeClr w14:val="tx1"/>
            </w14:solidFill>
          </w14:textFill>
        </w:rPr>
        <w:t>附件1-1</w:t>
      </w:r>
    </w:p>
    <w:p>
      <w:pPr>
        <w:ind w:left="-38" w:leftChars="-67" w:right="-197" w:rightChars="-94" w:hanging="103" w:hangingChars="32"/>
        <w:jc w:val="center"/>
        <w:rPr>
          <w:rFonts w:ascii="黑体" w:hAnsi="黑体" w:eastAsia="黑体" w:cs="黑体"/>
          <w:b/>
          <w:color w:val="000000" w:themeColor="text1"/>
          <w:sz w:val="32"/>
          <w:szCs w:val="28"/>
          <w14:textFill>
            <w14:solidFill>
              <w14:schemeClr w14:val="tx1"/>
            </w14:solidFill>
          </w14:textFill>
        </w:rPr>
      </w:pPr>
      <w:r>
        <w:rPr>
          <w:rFonts w:hint="eastAsia" w:ascii="黑体" w:hAnsi="黑体" w:eastAsia="黑体" w:cs="黑体"/>
          <w:b/>
          <w:color w:val="000000" w:themeColor="text1"/>
          <w:sz w:val="32"/>
          <w:szCs w:val="28"/>
          <w14:textFill>
            <w14:solidFill>
              <w14:schemeClr w14:val="tx1"/>
            </w14:solidFill>
          </w14:textFill>
        </w:rPr>
        <w:t>充电基础设施项目信息备案表</w:t>
      </w:r>
    </w:p>
    <w:tbl>
      <w:tblPr>
        <w:tblStyle w:val="11"/>
        <w:tblW w:w="14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991"/>
        <w:gridCol w:w="850"/>
        <w:gridCol w:w="1189"/>
        <w:gridCol w:w="1133"/>
        <w:gridCol w:w="941"/>
        <w:gridCol w:w="1518"/>
        <w:gridCol w:w="960"/>
        <w:gridCol w:w="960"/>
        <w:gridCol w:w="951"/>
        <w:gridCol w:w="989"/>
        <w:gridCol w:w="1267"/>
        <w:gridCol w:w="1293"/>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703"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序号</w:t>
            </w:r>
          </w:p>
        </w:tc>
        <w:tc>
          <w:tcPr>
            <w:tcW w:w="991"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项目建设单位</w:t>
            </w:r>
          </w:p>
        </w:tc>
        <w:tc>
          <w:tcPr>
            <w:tcW w:w="850"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项目运营单位</w:t>
            </w:r>
          </w:p>
        </w:tc>
        <w:tc>
          <w:tcPr>
            <w:tcW w:w="1189"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项目名称</w:t>
            </w:r>
          </w:p>
        </w:tc>
        <w:tc>
          <w:tcPr>
            <w:tcW w:w="1133"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建设地址</w:t>
            </w:r>
          </w:p>
        </w:tc>
        <w:tc>
          <w:tcPr>
            <w:tcW w:w="941"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场站经纬度</w:t>
            </w:r>
          </w:p>
        </w:tc>
        <w:tc>
          <w:tcPr>
            <w:tcW w:w="1518"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主要建设内容</w:t>
            </w:r>
          </w:p>
        </w:tc>
        <w:tc>
          <w:tcPr>
            <w:tcW w:w="3860" w:type="dxa"/>
            <w:gridSpan w:val="4"/>
            <w:vAlign w:val="center"/>
          </w:tcPr>
          <w:p>
            <w:pPr>
              <w:jc w:val="center"/>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拟建规模</w:t>
            </w:r>
          </w:p>
        </w:tc>
        <w:tc>
          <w:tcPr>
            <w:tcW w:w="1267"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是否独立报装（是/否）</w:t>
            </w:r>
          </w:p>
        </w:tc>
        <w:tc>
          <w:tcPr>
            <w:tcW w:w="1293" w:type="dxa"/>
            <w:vMerge w:val="restart"/>
            <w:vAlign w:val="center"/>
          </w:tcPr>
          <w:p>
            <w:pPr>
              <w:jc w:val="left"/>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场站性质（公用/专用）</w:t>
            </w:r>
          </w:p>
        </w:tc>
        <w:tc>
          <w:tcPr>
            <w:tcW w:w="709" w:type="dxa"/>
            <w:vMerge w:val="restart"/>
            <w:vAlign w:val="center"/>
          </w:tcPr>
          <w:p>
            <w:pPr>
              <w:jc w:val="center"/>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703"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991"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850"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1189"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1133"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941"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1518" w:type="dxa"/>
            <w:vMerge w:val="continue"/>
            <w:vAlign w:val="center"/>
          </w:tcPr>
          <w:p>
            <w:pPr>
              <w:rPr>
                <w:rFonts w:ascii="方正楷体简体" w:hAnsi="方正楷体简体" w:eastAsia="方正楷体简体" w:cs="方正楷体简体"/>
                <w:color w:val="000000" w:themeColor="text1"/>
                <w14:textFill>
                  <w14:solidFill>
                    <w14:schemeClr w14:val="tx1"/>
                  </w14:solidFill>
                </w14:textFill>
              </w:rPr>
            </w:pPr>
          </w:p>
        </w:tc>
        <w:tc>
          <w:tcPr>
            <w:tcW w:w="960" w:type="dxa"/>
            <w:vAlign w:val="center"/>
          </w:tcPr>
          <w:p>
            <w:pPr>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直流充电桩数量</w:t>
            </w:r>
          </w:p>
        </w:tc>
        <w:tc>
          <w:tcPr>
            <w:tcW w:w="960" w:type="dxa"/>
            <w:vAlign w:val="center"/>
          </w:tcPr>
          <w:p>
            <w:pPr>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交流充电桩数量</w:t>
            </w:r>
          </w:p>
        </w:tc>
        <w:tc>
          <w:tcPr>
            <w:tcW w:w="951" w:type="dxa"/>
          </w:tcPr>
          <w:p>
            <w:pPr>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直流充电桩功率（kW）</w:t>
            </w:r>
          </w:p>
        </w:tc>
        <w:tc>
          <w:tcPr>
            <w:tcW w:w="989" w:type="dxa"/>
          </w:tcPr>
          <w:p>
            <w:pPr>
              <w:rPr>
                <w:rFonts w:ascii="方正楷体简体" w:hAnsi="方正楷体简体" w:eastAsia="方正楷体简体" w:cs="方正楷体简体"/>
                <w:color w:val="000000" w:themeColor="text1"/>
                <w14:textFill>
                  <w14:solidFill>
                    <w14:schemeClr w14:val="tx1"/>
                  </w14:solidFill>
                </w14:textFill>
              </w:rPr>
            </w:pPr>
            <w:r>
              <w:rPr>
                <w:rFonts w:hint="eastAsia" w:ascii="方正楷体简体" w:hAnsi="方正楷体简体" w:eastAsia="方正楷体简体" w:cs="方正楷体简体"/>
                <w:color w:val="000000" w:themeColor="text1"/>
                <w14:textFill>
                  <w14:solidFill>
                    <w14:schemeClr w14:val="tx1"/>
                  </w14:solidFill>
                </w14:textFill>
              </w:rPr>
              <w:t>交流充电桩功率（kW）</w:t>
            </w:r>
          </w:p>
        </w:tc>
        <w:tc>
          <w:tcPr>
            <w:tcW w:w="1267" w:type="dxa"/>
            <w:vMerge w:val="continue"/>
            <w:vAlign w:val="center"/>
          </w:tcPr>
          <w:p>
            <w:pPr>
              <w:rPr>
                <w:rFonts w:ascii="宋体" w:hAnsi="宋体"/>
                <w:color w:val="000000" w:themeColor="text1"/>
                <w14:textFill>
                  <w14:solidFill>
                    <w14:schemeClr w14:val="tx1"/>
                  </w14:solidFill>
                </w14:textFill>
              </w:rPr>
            </w:pPr>
          </w:p>
        </w:tc>
        <w:tc>
          <w:tcPr>
            <w:tcW w:w="1293" w:type="dxa"/>
            <w:vMerge w:val="continue"/>
            <w:vAlign w:val="center"/>
          </w:tcPr>
          <w:p>
            <w:pPr>
              <w:rPr>
                <w:rFonts w:ascii="宋体" w:hAnsi="宋体"/>
                <w:color w:val="000000" w:themeColor="text1"/>
                <w14:textFill>
                  <w14:solidFill>
                    <w14:schemeClr w14:val="tx1"/>
                  </w14:solidFill>
                </w14:textFill>
              </w:rPr>
            </w:pPr>
          </w:p>
        </w:tc>
        <w:tc>
          <w:tcPr>
            <w:tcW w:w="709" w:type="dxa"/>
            <w:vMerge w:val="continue"/>
            <w:vAlign w:val="center"/>
          </w:tcPr>
          <w:p>
            <w:pP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70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991" w:type="dxa"/>
            <w:vAlign w:val="center"/>
          </w:tcPr>
          <w:p>
            <w:pPr>
              <w:rPr>
                <w:rFonts w:ascii="宋体" w:hAnsi="宋体"/>
                <w:color w:val="000000" w:themeColor="text1"/>
                <w14:textFill>
                  <w14:solidFill>
                    <w14:schemeClr w14:val="tx1"/>
                  </w14:solidFill>
                </w14:textFill>
              </w:rPr>
            </w:pPr>
          </w:p>
        </w:tc>
        <w:tc>
          <w:tcPr>
            <w:tcW w:w="850" w:type="dxa"/>
            <w:vAlign w:val="center"/>
          </w:tcPr>
          <w:p>
            <w:pPr>
              <w:rPr>
                <w:rFonts w:ascii="宋体" w:hAnsi="宋体"/>
                <w:color w:val="000000" w:themeColor="text1"/>
                <w14:textFill>
                  <w14:solidFill>
                    <w14:schemeClr w14:val="tx1"/>
                  </w14:solidFill>
                </w14:textFill>
              </w:rPr>
            </w:pPr>
          </w:p>
        </w:tc>
        <w:tc>
          <w:tcPr>
            <w:tcW w:w="1189" w:type="dxa"/>
            <w:vAlign w:val="center"/>
          </w:tcPr>
          <w:p>
            <w:pPr>
              <w:rPr>
                <w:rFonts w:ascii="宋体" w:hAnsi="宋体"/>
                <w:color w:val="000000" w:themeColor="text1"/>
                <w14:textFill>
                  <w14:solidFill>
                    <w14:schemeClr w14:val="tx1"/>
                  </w14:solidFill>
                </w14:textFill>
              </w:rPr>
            </w:pPr>
          </w:p>
        </w:tc>
        <w:tc>
          <w:tcPr>
            <w:tcW w:w="1133" w:type="dxa"/>
            <w:vAlign w:val="center"/>
          </w:tcPr>
          <w:p>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XX区（市、县）XX街道（乡镇）XX路XX号XX</w:t>
            </w:r>
          </w:p>
        </w:tc>
        <w:tc>
          <w:tcPr>
            <w:tcW w:w="941" w:type="dxa"/>
            <w:vAlign w:val="center"/>
          </w:tcPr>
          <w:p>
            <w:pPr>
              <w:rPr>
                <w:rFonts w:ascii="仿宋" w:hAnsi="仿宋" w:eastAsia="仿宋" w:cs="仿宋"/>
                <w:color w:val="000000" w:themeColor="text1"/>
                <w14:textFill>
                  <w14:solidFill>
                    <w14:schemeClr w14:val="tx1"/>
                  </w14:solidFill>
                </w14:textFill>
              </w:rPr>
            </w:pPr>
          </w:p>
        </w:tc>
        <w:tc>
          <w:tcPr>
            <w:tcW w:w="1518" w:type="dxa"/>
            <w:vAlign w:val="center"/>
          </w:tcPr>
          <w:p>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项目总投资额XX万元。新增变压器XX台，新增容量XXkVA </w:t>
            </w:r>
          </w:p>
        </w:tc>
        <w:tc>
          <w:tcPr>
            <w:tcW w:w="960" w:type="dxa"/>
            <w:vAlign w:val="center"/>
          </w:tcPr>
          <w:p>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XX台XX枪</w:t>
            </w:r>
          </w:p>
        </w:tc>
        <w:tc>
          <w:tcPr>
            <w:tcW w:w="960" w:type="dxa"/>
            <w:vAlign w:val="center"/>
          </w:tcPr>
          <w:p>
            <w:pP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XX台XX枪</w:t>
            </w:r>
          </w:p>
        </w:tc>
        <w:tc>
          <w:tcPr>
            <w:tcW w:w="951" w:type="dxa"/>
          </w:tcPr>
          <w:p>
            <w:pPr>
              <w:rPr>
                <w:rFonts w:ascii="宋体" w:hAnsi="宋体"/>
                <w:color w:val="000000" w:themeColor="text1"/>
                <w14:textFill>
                  <w14:solidFill>
                    <w14:schemeClr w14:val="tx1"/>
                  </w14:solidFill>
                </w14:textFill>
              </w:rPr>
            </w:pPr>
          </w:p>
        </w:tc>
        <w:tc>
          <w:tcPr>
            <w:tcW w:w="989" w:type="dxa"/>
          </w:tcPr>
          <w:p>
            <w:pPr>
              <w:rPr>
                <w:rFonts w:ascii="宋体" w:hAnsi="宋体"/>
                <w:color w:val="000000" w:themeColor="text1"/>
                <w14:textFill>
                  <w14:solidFill>
                    <w14:schemeClr w14:val="tx1"/>
                  </w14:solidFill>
                </w14:textFill>
              </w:rPr>
            </w:pPr>
          </w:p>
        </w:tc>
        <w:tc>
          <w:tcPr>
            <w:tcW w:w="1267" w:type="dxa"/>
            <w:vAlign w:val="center"/>
          </w:tcPr>
          <w:p>
            <w:pPr>
              <w:rPr>
                <w:rFonts w:ascii="宋体" w:hAnsi="宋体"/>
                <w:color w:val="000000" w:themeColor="text1"/>
                <w14:textFill>
                  <w14:solidFill>
                    <w14:schemeClr w14:val="tx1"/>
                  </w14:solidFill>
                </w14:textFill>
              </w:rPr>
            </w:pPr>
          </w:p>
        </w:tc>
        <w:tc>
          <w:tcPr>
            <w:tcW w:w="1293" w:type="dxa"/>
            <w:vAlign w:val="center"/>
          </w:tcPr>
          <w:p>
            <w:pPr>
              <w:rPr>
                <w:rFonts w:ascii="宋体" w:hAnsi="宋体"/>
                <w:color w:val="000000" w:themeColor="text1"/>
                <w14:textFill>
                  <w14:solidFill>
                    <w14:schemeClr w14:val="tx1"/>
                  </w14:solidFill>
                </w14:textFill>
              </w:rPr>
            </w:pPr>
          </w:p>
        </w:tc>
        <w:tc>
          <w:tcPr>
            <w:tcW w:w="709" w:type="dxa"/>
            <w:vAlign w:val="center"/>
          </w:tcPr>
          <w:p>
            <w:pP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991" w:type="dxa"/>
            <w:vAlign w:val="center"/>
          </w:tcPr>
          <w:p>
            <w:pPr>
              <w:rPr>
                <w:rFonts w:ascii="宋体" w:hAnsi="宋体"/>
                <w:color w:val="000000" w:themeColor="text1"/>
                <w14:textFill>
                  <w14:solidFill>
                    <w14:schemeClr w14:val="tx1"/>
                  </w14:solidFill>
                </w14:textFill>
              </w:rPr>
            </w:pPr>
          </w:p>
        </w:tc>
        <w:tc>
          <w:tcPr>
            <w:tcW w:w="850" w:type="dxa"/>
            <w:vAlign w:val="center"/>
          </w:tcPr>
          <w:p>
            <w:pPr>
              <w:rPr>
                <w:rFonts w:ascii="宋体" w:hAnsi="宋体"/>
                <w:color w:val="000000" w:themeColor="text1"/>
                <w14:textFill>
                  <w14:solidFill>
                    <w14:schemeClr w14:val="tx1"/>
                  </w14:solidFill>
                </w14:textFill>
              </w:rPr>
            </w:pPr>
          </w:p>
        </w:tc>
        <w:tc>
          <w:tcPr>
            <w:tcW w:w="1189" w:type="dxa"/>
            <w:vAlign w:val="center"/>
          </w:tcPr>
          <w:p>
            <w:pPr>
              <w:rPr>
                <w:rFonts w:ascii="宋体" w:hAnsi="宋体"/>
                <w:color w:val="000000" w:themeColor="text1"/>
                <w14:textFill>
                  <w14:solidFill>
                    <w14:schemeClr w14:val="tx1"/>
                  </w14:solidFill>
                </w14:textFill>
              </w:rPr>
            </w:pPr>
          </w:p>
        </w:tc>
        <w:tc>
          <w:tcPr>
            <w:tcW w:w="1133" w:type="dxa"/>
            <w:vAlign w:val="center"/>
          </w:tcPr>
          <w:p>
            <w:pPr>
              <w:rPr>
                <w:rFonts w:ascii="宋体" w:hAnsi="宋体"/>
                <w:color w:val="000000" w:themeColor="text1"/>
                <w14:textFill>
                  <w14:solidFill>
                    <w14:schemeClr w14:val="tx1"/>
                  </w14:solidFill>
                </w14:textFill>
              </w:rPr>
            </w:pPr>
          </w:p>
        </w:tc>
        <w:tc>
          <w:tcPr>
            <w:tcW w:w="941" w:type="dxa"/>
            <w:vAlign w:val="center"/>
          </w:tcPr>
          <w:p>
            <w:pPr>
              <w:rPr>
                <w:rFonts w:ascii="宋体" w:hAnsi="宋体"/>
                <w:color w:val="000000" w:themeColor="text1"/>
                <w14:textFill>
                  <w14:solidFill>
                    <w14:schemeClr w14:val="tx1"/>
                  </w14:solidFill>
                </w14:textFill>
              </w:rPr>
            </w:pPr>
          </w:p>
        </w:tc>
        <w:tc>
          <w:tcPr>
            <w:tcW w:w="1518" w:type="dxa"/>
            <w:vAlign w:val="center"/>
          </w:tcPr>
          <w:p>
            <w:pPr>
              <w:rPr>
                <w:rFonts w:ascii="宋体" w:hAnsi="宋体"/>
                <w:color w:val="000000" w:themeColor="text1"/>
                <w14:textFill>
                  <w14:solidFill>
                    <w14:schemeClr w14:val="tx1"/>
                  </w14:solidFill>
                </w14:textFill>
              </w:rPr>
            </w:pPr>
          </w:p>
        </w:tc>
        <w:tc>
          <w:tcPr>
            <w:tcW w:w="960" w:type="dxa"/>
            <w:vAlign w:val="center"/>
          </w:tcPr>
          <w:p>
            <w:pPr>
              <w:rPr>
                <w:rFonts w:ascii="宋体" w:hAnsi="宋体"/>
                <w:color w:val="000000" w:themeColor="text1"/>
                <w14:textFill>
                  <w14:solidFill>
                    <w14:schemeClr w14:val="tx1"/>
                  </w14:solidFill>
                </w14:textFill>
              </w:rPr>
            </w:pPr>
          </w:p>
        </w:tc>
        <w:tc>
          <w:tcPr>
            <w:tcW w:w="960" w:type="dxa"/>
            <w:vAlign w:val="center"/>
          </w:tcPr>
          <w:p>
            <w:pPr>
              <w:rPr>
                <w:rFonts w:ascii="宋体" w:hAnsi="宋体"/>
                <w:color w:val="000000" w:themeColor="text1"/>
                <w14:textFill>
                  <w14:solidFill>
                    <w14:schemeClr w14:val="tx1"/>
                  </w14:solidFill>
                </w14:textFill>
              </w:rPr>
            </w:pPr>
          </w:p>
        </w:tc>
        <w:tc>
          <w:tcPr>
            <w:tcW w:w="951" w:type="dxa"/>
          </w:tcPr>
          <w:p>
            <w:pPr>
              <w:rPr>
                <w:rFonts w:ascii="宋体" w:hAnsi="宋体"/>
                <w:color w:val="000000" w:themeColor="text1"/>
                <w14:textFill>
                  <w14:solidFill>
                    <w14:schemeClr w14:val="tx1"/>
                  </w14:solidFill>
                </w14:textFill>
              </w:rPr>
            </w:pPr>
          </w:p>
        </w:tc>
        <w:tc>
          <w:tcPr>
            <w:tcW w:w="989" w:type="dxa"/>
          </w:tcPr>
          <w:p>
            <w:pPr>
              <w:rPr>
                <w:rFonts w:ascii="宋体" w:hAnsi="宋体"/>
                <w:color w:val="000000" w:themeColor="text1"/>
                <w14:textFill>
                  <w14:solidFill>
                    <w14:schemeClr w14:val="tx1"/>
                  </w14:solidFill>
                </w14:textFill>
              </w:rPr>
            </w:pPr>
          </w:p>
        </w:tc>
        <w:tc>
          <w:tcPr>
            <w:tcW w:w="1267" w:type="dxa"/>
            <w:vAlign w:val="center"/>
          </w:tcPr>
          <w:p>
            <w:pPr>
              <w:rPr>
                <w:rFonts w:ascii="宋体" w:hAnsi="宋体"/>
                <w:color w:val="000000" w:themeColor="text1"/>
                <w14:textFill>
                  <w14:solidFill>
                    <w14:schemeClr w14:val="tx1"/>
                  </w14:solidFill>
                </w14:textFill>
              </w:rPr>
            </w:pPr>
          </w:p>
        </w:tc>
        <w:tc>
          <w:tcPr>
            <w:tcW w:w="1293" w:type="dxa"/>
            <w:vAlign w:val="center"/>
          </w:tcPr>
          <w:p>
            <w:pPr>
              <w:rPr>
                <w:rFonts w:ascii="宋体" w:hAnsi="宋体"/>
                <w:color w:val="000000" w:themeColor="text1"/>
                <w14:textFill>
                  <w14:solidFill>
                    <w14:schemeClr w14:val="tx1"/>
                  </w14:solidFill>
                </w14:textFill>
              </w:rPr>
            </w:pPr>
          </w:p>
        </w:tc>
        <w:tc>
          <w:tcPr>
            <w:tcW w:w="709" w:type="dxa"/>
            <w:vAlign w:val="center"/>
          </w:tcPr>
          <w:p>
            <w:pP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991" w:type="dxa"/>
            <w:vAlign w:val="center"/>
          </w:tcPr>
          <w:p>
            <w:pPr>
              <w:rPr>
                <w:rFonts w:ascii="宋体" w:hAnsi="宋体"/>
                <w:color w:val="000000" w:themeColor="text1"/>
                <w14:textFill>
                  <w14:solidFill>
                    <w14:schemeClr w14:val="tx1"/>
                  </w14:solidFill>
                </w14:textFill>
              </w:rPr>
            </w:pPr>
          </w:p>
        </w:tc>
        <w:tc>
          <w:tcPr>
            <w:tcW w:w="850" w:type="dxa"/>
            <w:vAlign w:val="center"/>
          </w:tcPr>
          <w:p>
            <w:pPr>
              <w:rPr>
                <w:rFonts w:ascii="宋体" w:hAnsi="宋体"/>
                <w:color w:val="000000" w:themeColor="text1"/>
                <w14:textFill>
                  <w14:solidFill>
                    <w14:schemeClr w14:val="tx1"/>
                  </w14:solidFill>
                </w14:textFill>
              </w:rPr>
            </w:pPr>
          </w:p>
        </w:tc>
        <w:tc>
          <w:tcPr>
            <w:tcW w:w="1189" w:type="dxa"/>
            <w:vAlign w:val="center"/>
          </w:tcPr>
          <w:p>
            <w:pPr>
              <w:rPr>
                <w:rFonts w:ascii="宋体" w:hAnsi="宋体"/>
                <w:color w:val="000000" w:themeColor="text1"/>
                <w14:textFill>
                  <w14:solidFill>
                    <w14:schemeClr w14:val="tx1"/>
                  </w14:solidFill>
                </w14:textFill>
              </w:rPr>
            </w:pPr>
          </w:p>
        </w:tc>
        <w:tc>
          <w:tcPr>
            <w:tcW w:w="1133" w:type="dxa"/>
            <w:vAlign w:val="center"/>
          </w:tcPr>
          <w:p>
            <w:pPr>
              <w:rPr>
                <w:rFonts w:ascii="宋体" w:hAnsi="宋体"/>
                <w:color w:val="000000" w:themeColor="text1"/>
                <w14:textFill>
                  <w14:solidFill>
                    <w14:schemeClr w14:val="tx1"/>
                  </w14:solidFill>
                </w14:textFill>
              </w:rPr>
            </w:pPr>
          </w:p>
        </w:tc>
        <w:tc>
          <w:tcPr>
            <w:tcW w:w="941" w:type="dxa"/>
            <w:vAlign w:val="center"/>
          </w:tcPr>
          <w:p>
            <w:pPr>
              <w:rPr>
                <w:rFonts w:ascii="宋体" w:hAnsi="宋体"/>
                <w:color w:val="000000" w:themeColor="text1"/>
                <w14:textFill>
                  <w14:solidFill>
                    <w14:schemeClr w14:val="tx1"/>
                  </w14:solidFill>
                </w14:textFill>
              </w:rPr>
            </w:pPr>
          </w:p>
        </w:tc>
        <w:tc>
          <w:tcPr>
            <w:tcW w:w="1518" w:type="dxa"/>
            <w:vAlign w:val="center"/>
          </w:tcPr>
          <w:p>
            <w:pPr>
              <w:rPr>
                <w:rFonts w:ascii="宋体" w:hAnsi="宋体"/>
                <w:color w:val="000000" w:themeColor="text1"/>
                <w14:textFill>
                  <w14:solidFill>
                    <w14:schemeClr w14:val="tx1"/>
                  </w14:solidFill>
                </w14:textFill>
              </w:rPr>
            </w:pPr>
          </w:p>
        </w:tc>
        <w:tc>
          <w:tcPr>
            <w:tcW w:w="960" w:type="dxa"/>
            <w:vAlign w:val="center"/>
          </w:tcPr>
          <w:p>
            <w:pPr>
              <w:rPr>
                <w:rFonts w:ascii="宋体" w:hAnsi="宋体"/>
                <w:color w:val="000000" w:themeColor="text1"/>
                <w14:textFill>
                  <w14:solidFill>
                    <w14:schemeClr w14:val="tx1"/>
                  </w14:solidFill>
                </w14:textFill>
              </w:rPr>
            </w:pPr>
          </w:p>
        </w:tc>
        <w:tc>
          <w:tcPr>
            <w:tcW w:w="960" w:type="dxa"/>
            <w:vAlign w:val="center"/>
          </w:tcPr>
          <w:p>
            <w:pPr>
              <w:rPr>
                <w:rFonts w:ascii="宋体" w:hAnsi="宋体"/>
                <w:color w:val="000000" w:themeColor="text1"/>
                <w14:textFill>
                  <w14:solidFill>
                    <w14:schemeClr w14:val="tx1"/>
                  </w14:solidFill>
                </w14:textFill>
              </w:rPr>
            </w:pPr>
          </w:p>
        </w:tc>
        <w:tc>
          <w:tcPr>
            <w:tcW w:w="951" w:type="dxa"/>
          </w:tcPr>
          <w:p>
            <w:pPr>
              <w:rPr>
                <w:rFonts w:ascii="宋体" w:hAnsi="宋体"/>
                <w:color w:val="000000" w:themeColor="text1"/>
                <w14:textFill>
                  <w14:solidFill>
                    <w14:schemeClr w14:val="tx1"/>
                  </w14:solidFill>
                </w14:textFill>
              </w:rPr>
            </w:pPr>
          </w:p>
        </w:tc>
        <w:tc>
          <w:tcPr>
            <w:tcW w:w="989" w:type="dxa"/>
          </w:tcPr>
          <w:p>
            <w:pPr>
              <w:rPr>
                <w:rFonts w:ascii="宋体" w:hAnsi="宋体"/>
                <w:color w:val="000000" w:themeColor="text1"/>
                <w14:textFill>
                  <w14:solidFill>
                    <w14:schemeClr w14:val="tx1"/>
                  </w14:solidFill>
                </w14:textFill>
              </w:rPr>
            </w:pPr>
          </w:p>
        </w:tc>
        <w:tc>
          <w:tcPr>
            <w:tcW w:w="1267" w:type="dxa"/>
            <w:vAlign w:val="center"/>
          </w:tcPr>
          <w:p>
            <w:pPr>
              <w:rPr>
                <w:rFonts w:ascii="宋体" w:hAnsi="宋体"/>
                <w:color w:val="000000" w:themeColor="text1"/>
                <w14:textFill>
                  <w14:solidFill>
                    <w14:schemeClr w14:val="tx1"/>
                  </w14:solidFill>
                </w14:textFill>
              </w:rPr>
            </w:pPr>
          </w:p>
        </w:tc>
        <w:tc>
          <w:tcPr>
            <w:tcW w:w="1293" w:type="dxa"/>
            <w:vAlign w:val="center"/>
          </w:tcPr>
          <w:p>
            <w:pPr>
              <w:rPr>
                <w:rFonts w:ascii="宋体" w:hAnsi="宋体"/>
                <w:color w:val="000000" w:themeColor="text1"/>
                <w14:textFill>
                  <w14:solidFill>
                    <w14:schemeClr w14:val="tx1"/>
                  </w14:solidFill>
                </w14:textFill>
              </w:rPr>
            </w:pPr>
          </w:p>
        </w:tc>
        <w:tc>
          <w:tcPr>
            <w:tcW w:w="709" w:type="dxa"/>
            <w:vAlign w:val="center"/>
          </w:tcPr>
          <w:p>
            <w:pP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991" w:type="dxa"/>
            <w:vAlign w:val="center"/>
          </w:tcPr>
          <w:p>
            <w:pPr>
              <w:rPr>
                <w:rFonts w:ascii="宋体" w:hAnsi="宋体"/>
                <w:color w:val="000000" w:themeColor="text1"/>
                <w14:textFill>
                  <w14:solidFill>
                    <w14:schemeClr w14:val="tx1"/>
                  </w14:solidFill>
                </w14:textFill>
              </w:rPr>
            </w:pPr>
          </w:p>
        </w:tc>
        <w:tc>
          <w:tcPr>
            <w:tcW w:w="850" w:type="dxa"/>
            <w:vAlign w:val="center"/>
          </w:tcPr>
          <w:p>
            <w:pPr>
              <w:rPr>
                <w:rFonts w:ascii="宋体" w:hAnsi="宋体"/>
                <w:color w:val="000000" w:themeColor="text1"/>
                <w14:textFill>
                  <w14:solidFill>
                    <w14:schemeClr w14:val="tx1"/>
                  </w14:solidFill>
                </w14:textFill>
              </w:rPr>
            </w:pPr>
          </w:p>
        </w:tc>
        <w:tc>
          <w:tcPr>
            <w:tcW w:w="1189" w:type="dxa"/>
            <w:vAlign w:val="center"/>
          </w:tcPr>
          <w:p>
            <w:pPr>
              <w:rPr>
                <w:rFonts w:ascii="宋体" w:hAnsi="宋体"/>
                <w:color w:val="000000" w:themeColor="text1"/>
                <w14:textFill>
                  <w14:solidFill>
                    <w14:schemeClr w14:val="tx1"/>
                  </w14:solidFill>
                </w14:textFill>
              </w:rPr>
            </w:pPr>
          </w:p>
        </w:tc>
        <w:tc>
          <w:tcPr>
            <w:tcW w:w="1133" w:type="dxa"/>
            <w:vAlign w:val="center"/>
          </w:tcPr>
          <w:p>
            <w:pPr>
              <w:rPr>
                <w:rFonts w:ascii="宋体" w:hAnsi="宋体"/>
                <w:color w:val="000000" w:themeColor="text1"/>
                <w14:textFill>
                  <w14:solidFill>
                    <w14:schemeClr w14:val="tx1"/>
                  </w14:solidFill>
                </w14:textFill>
              </w:rPr>
            </w:pPr>
          </w:p>
        </w:tc>
        <w:tc>
          <w:tcPr>
            <w:tcW w:w="941" w:type="dxa"/>
            <w:vAlign w:val="center"/>
          </w:tcPr>
          <w:p>
            <w:pPr>
              <w:rPr>
                <w:rFonts w:ascii="宋体" w:hAnsi="宋体"/>
                <w:color w:val="000000" w:themeColor="text1"/>
                <w14:textFill>
                  <w14:solidFill>
                    <w14:schemeClr w14:val="tx1"/>
                  </w14:solidFill>
                </w14:textFill>
              </w:rPr>
            </w:pPr>
          </w:p>
        </w:tc>
        <w:tc>
          <w:tcPr>
            <w:tcW w:w="1518" w:type="dxa"/>
            <w:vAlign w:val="center"/>
          </w:tcPr>
          <w:p>
            <w:pPr>
              <w:rPr>
                <w:rFonts w:ascii="宋体" w:hAnsi="宋体"/>
                <w:color w:val="000000" w:themeColor="text1"/>
                <w14:textFill>
                  <w14:solidFill>
                    <w14:schemeClr w14:val="tx1"/>
                  </w14:solidFill>
                </w14:textFill>
              </w:rPr>
            </w:pPr>
          </w:p>
        </w:tc>
        <w:tc>
          <w:tcPr>
            <w:tcW w:w="960" w:type="dxa"/>
            <w:vAlign w:val="center"/>
          </w:tcPr>
          <w:p>
            <w:pPr>
              <w:rPr>
                <w:rFonts w:ascii="宋体" w:hAnsi="宋体"/>
                <w:color w:val="000000" w:themeColor="text1"/>
                <w14:textFill>
                  <w14:solidFill>
                    <w14:schemeClr w14:val="tx1"/>
                  </w14:solidFill>
                </w14:textFill>
              </w:rPr>
            </w:pPr>
          </w:p>
        </w:tc>
        <w:tc>
          <w:tcPr>
            <w:tcW w:w="960" w:type="dxa"/>
            <w:vAlign w:val="center"/>
          </w:tcPr>
          <w:p>
            <w:pPr>
              <w:rPr>
                <w:rFonts w:ascii="宋体" w:hAnsi="宋体"/>
                <w:color w:val="000000" w:themeColor="text1"/>
                <w14:textFill>
                  <w14:solidFill>
                    <w14:schemeClr w14:val="tx1"/>
                  </w14:solidFill>
                </w14:textFill>
              </w:rPr>
            </w:pPr>
          </w:p>
        </w:tc>
        <w:tc>
          <w:tcPr>
            <w:tcW w:w="951" w:type="dxa"/>
          </w:tcPr>
          <w:p>
            <w:pPr>
              <w:rPr>
                <w:rFonts w:ascii="宋体" w:hAnsi="宋体"/>
                <w:color w:val="000000" w:themeColor="text1"/>
                <w14:textFill>
                  <w14:solidFill>
                    <w14:schemeClr w14:val="tx1"/>
                  </w14:solidFill>
                </w14:textFill>
              </w:rPr>
            </w:pPr>
          </w:p>
        </w:tc>
        <w:tc>
          <w:tcPr>
            <w:tcW w:w="989" w:type="dxa"/>
          </w:tcPr>
          <w:p>
            <w:pPr>
              <w:rPr>
                <w:rFonts w:ascii="宋体" w:hAnsi="宋体"/>
                <w:color w:val="000000" w:themeColor="text1"/>
                <w14:textFill>
                  <w14:solidFill>
                    <w14:schemeClr w14:val="tx1"/>
                  </w14:solidFill>
                </w14:textFill>
              </w:rPr>
            </w:pPr>
          </w:p>
        </w:tc>
        <w:tc>
          <w:tcPr>
            <w:tcW w:w="1267" w:type="dxa"/>
            <w:vAlign w:val="center"/>
          </w:tcPr>
          <w:p>
            <w:pPr>
              <w:rPr>
                <w:rFonts w:ascii="宋体" w:hAnsi="宋体"/>
                <w:color w:val="000000" w:themeColor="text1"/>
                <w14:textFill>
                  <w14:solidFill>
                    <w14:schemeClr w14:val="tx1"/>
                  </w14:solidFill>
                </w14:textFill>
              </w:rPr>
            </w:pPr>
          </w:p>
        </w:tc>
        <w:tc>
          <w:tcPr>
            <w:tcW w:w="1293" w:type="dxa"/>
            <w:vAlign w:val="center"/>
          </w:tcPr>
          <w:p>
            <w:pPr>
              <w:rPr>
                <w:rFonts w:ascii="宋体" w:hAnsi="宋体"/>
                <w:color w:val="000000" w:themeColor="text1"/>
                <w14:textFill>
                  <w14:solidFill>
                    <w14:schemeClr w14:val="tx1"/>
                  </w14:solidFill>
                </w14:textFill>
              </w:rPr>
            </w:pPr>
          </w:p>
        </w:tc>
        <w:tc>
          <w:tcPr>
            <w:tcW w:w="709" w:type="dxa"/>
            <w:vAlign w:val="center"/>
          </w:tcPr>
          <w:p>
            <w:pPr>
              <w:rPr>
                <w:rFonts w:ascii="宋体" w:hAnsi="宋体"/>
                <w:color w:val="000000" w:themeColor="text1"/>
                <w14:textFill>
                  <w14:solidFill>
                    <w14:schemeClr w14:val="tx1"/>
                  </w14:solidFill>
                </w14:textFill>
              </w:rPr>
            </w:pPr>
          </w:p>
        </w:tc>
      </w:tr>
    </w:tbl>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pPr>
    </w:p>
    <w:p>
      <w:pPr>
        <w:topLinePunct/>
        <w:adjustRightInd w:val="0"/>
        <w:snapToGrid w:val="0"/>
        <w:spacing w:line="600" w:lineRule="exact"/>
        <w:rPr>
          <w:rFonts w:ascii="Times New Roman" w:hAnsi="Times New Roman" w:eastAsia="方正黑体简体"/>
          <w:color w:val="000000" w:themeColor="text1"/>
          <w:sz w:val="32"/>
          <w:szCs w:val="32"/>
          <w14:textFill>
            <w14:solidFill>
              <w14:schemeClr w14:val="tx1"/>
            </w14:solidFill>
          </w14:textFill>
        </w:rPr>
      </w:pPr>
      <w:r>
        <w:rPr>
          <w:rFonts w:hint="eastAsia" w:ascii="Times New Roman" w:hAnsi="Times New Roman" w:eastAsia="方正黑体简体"/>
          <w:color w:val="000000" w:themeColor="text1"/>
          <w:sz w:val="32"/>
          <w:szCs w:val="32"/>
          <w14:textFill>
            <w14:solidFill>
              <w14:schemeClr w14:val="tx1"/>
            </w14:solidFill>
          </w14:textFill>
        </w:rPr>
        <w:t xml:space="preserve">附件1-2 </w:t>
      </w:r>
    </w:p>
    <w:p>
      <w:pPr>
        <w:ind w:right="-197" w:rightChars="-94" w:firstLine="2650" w:firstLineChars="1100"/>
        <w:jc w:val="left"/>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 xml:space="preserve">建设备案流程图 </w:t>
      </w:r>
      <w:r>
        <w:rPr>
          <w:b/>
          <w:bCs/>
          <w:color w:val="000000" w:themeColor="text1"/>
          <w:sz w:val="24"/>
          <w:szCs w:val="32"/>
          <w14:textFill>
            <w14:solidFill>
              <w14:schemeClr w14:val="tx1"/>
            </w14:solidFill>
          </w14:textFill>
        </w:rPr>
        <w:t xml:space="preserve">                                        </w:t>
      </w:r>
      <w:r>
        <w:rPr>
          <w:rFonts w:hint="eastAsia"/>
          <w:b/>
          <w:bCs/>
          <w:color w:val="000000" w:themeColor="text1"/>
          <w:sz w:val="24"/>
          <w:szCs w:val="32"/>
          <w14:textFill>
            <w14:solidFill>
              <w14:schemeClr w14:val="tx1"/>
            </w14:solidFill>
          </w14:textFill>
        </w:rPr>
        <w:t>投运备案流程图</w:t>
      </w:r>
    </w:p>
    <w:p>
      <w:pPr>
        <w:ind w:left="-76" w:leftChars="-36" w:right="-197" w:rightChars="-94" w:firstLine="1988" w:firstLineChars="710"/>
        <w:jc w:val="left"/>
        <w:rPr>
          <w:color w:val="000000" w:themeColor="text1"/>
          <w14:textFill>
            <w14:solidFill>
              <w14:schemeClr w14:val="tx1"/>
            </w14:solidFill>
          </w14:textFill>
        </w:rPr>
      </w:pPr>
      <w:r>
        <w:rPr>
          <w:color w:val="000000" w:themeColor="text1"/>
          <w:sz w:val="28"/>
          <w:szCs w:val="36"/>
          <w14:textFill>
            <w14:solidFill>
              <w14:schemeClr w14:val="tx1"/>
            </w14:solidFill>
          </w14:textFill>
        </w:rPr>
        <w:drawing>
          <wp:inline distT="0" distB="0" distL="114300" distR="114300">
            <wp:extent cx="1924050" cy="4309745"/>
            <wp:effectExtent l="0" t="0" r="11430"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1924050" cy="4309745"/>
                    </a:xfrm>
                    <a:prstGeom prst="rect">
                      <a:avLst/>
                    </a:prstGeom>
                    <a:noFill/>
                    <a:ln>
                      <a:noFill/>
                    </a:ln>
                  </pic:spPr>
                </pic:pic>
              </a:graphicData>
            </a:graphic>
          </wp:inline>
        </w:drawing>
      </w:r>
      <w:r>
        <w:rPr>
          <w:color w:val="000000" w:themeColor="text1"/>
          <w14:textFill>
            <w14:solidFill>
              <w14:schemeClr w14:val="tx1"/>
            </w14:solidFill>
          </w14:textFill>
        </w:rPr>
        <w:t xml:space="preserve">                                   </w:t>
      </w:r>
      <w:r>
        <w:rPr>
          <w:color w:val="000000" w:themeColor="text1"/>
          <w14:textFill>
            <w14:solidFill>
              <w14:schemeClr w14:val="tx1"/>
            </w14:solidFill>
          </w14:textFill>
        </w:rPr>
        <w:object>
          <v:shape id="_x0000_i1025" o:spt="75" type="#_x0000_t75" style="height:343.1pt;width:152.1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o:LockedField>false</o:LockedField>
          </o:OLEObject>
        </w:object>
      </w:r>
    </w:p>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pPr>
    </w:p>
    <w:p>
      <w:pPr>
        <w:ind w:left="-74" w:leftChars="-67" w:right="-197" w:rightChars="-94" w:hanging="67" w:hangingChars="32"/>
        <w:jc w:val="left"/>
        <w:rPr>
          <w:color w:val="000000" w:themeColor="text1"/>
          <w14:textFill>
            <w14:solidFill>
              <w14:schemeClr w14:val="tx1"/>
            </w14:solidFill>
          </w14:textFill>
        </w:rPr>
        <w:sectPr>
          <w:footerReference r:id="rId5" w:type="default"/>
          <w:pgSz w:w="16838" w:h="11906" w:orient="landscape"/>
          <w:pgMar w:top="1587" w:right="2098" w:bottom="1474" w:left="1984" w:header="851" w:footer="992" w:gutter="0"/>
          <w:cols w:space="0" w:num="1"/>
          <w:docGrid w:type="lines" w:linePitch="315" w:charSpace="0"/>
        </w:sectPr>
      </w:pPr>
    </w:p>
    <w:p>
      <w:pPr>
        <w:topLinePunct/>
        <w:adjustRightInd w:val="0"/>
        <w:snapToGrid w:val="0"/>
        <w:spacing w:line="600" w:lineRule="exact"/>
        <w:rPr>
          <w:rFonts w:ascii="Times New Roman" w:hAnsi="Times New Roman" w:eastAsia="方正黑体简体"/>
          <w:color w:val="000000" w:themeColor="text1"/>
          <w:sz w:val="32"/>
          <w:szCs w:val="32"/>
          <w14:textFill>
            <w14:solidFill>
              <w14:schemeClr w14:val="tx1"/>
            </w14:solidFill>
          </w14:textFill>
        </w:rPr>
      </w:pPr>
      <w:r>
        <w:rPr>
          <w:rFonts w:hint="eastAsia" w:ascii="Times New Roman" w:hAnsi="Times New Roman" w:eastAsia="方正黑体简体"/>
          <w:color w:val="000000" w:themeColor="text1"/>
          <w:sz w:val="32"/>
          <w:szCs w:val="32"/>
          <w14:textFill>
            <w14:solidFill>
              <w14:schemeClr w14:val="tx1"/>
            </w14:solidFill>
          </w14:textFill>
        </w:rPr>
        <w:t>附件2</w:t>
      </w:r>
    </w:p>
    <w:p>
      <w:pPr>
        <w:adjustRightInd w:val="0"/>
        <w:snapToGrid w:val="0"/>
        <w:spacing w:before="315" w:beforeLines="100" w:after="315" w:afterLines="100" w:line="560" w:lineRule="exact"/>
        <w:jc w:val="center"/>
        <w:rPr>
          <w:rFonts w:eastAsia="方正小标宋简体"/>
          <w:color w:val="000000" w:themeColor="text1"/>
          <w:sz w:val="44"/>
          <w:szCs w:val="44"/>
          <w14:textFill>
            <w14:solidFill>
              <w14:schemeClr w14:val="tx1"/>
            </w14:solidFill>
          </w14:textFill>
        </w:rPr>
      </w:pPr>
    </w:p>
    <w:p>
      <w:pPr>
        <w:adjustRightInd w:val="0"/>
        <w:snapToGrid w:val="0"/>
        <w:spacing w:before="315" w:beforeLines="100" w:after="315" w:afterLines="100" w:line="560" w:lineRule="exact"/>
        <w:jc w:val="center"/>
        <w:rPr>
          <w:rFonts w:hint="eastAsia"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成都市电动汽车充电设施验收</w:t>
      </w:r>
    </w:p>
    <w:p>
      <w:pPr>
        <w:adjustRightInd w:val="0"/>
        <w:snapToGrid w:val="0"/>
        <w:spacing w:before="315" w:beforeLines="100" w:after="315" w:afterLines="100" w:line="560" w:lineRule="exact"/>
        <w:jc w:val="center"/>
        <w:rPr>
          <w:rFonts w:eastAsia="方正小标宋简体"/>
          <w:color w:val="000000" w:themeColor="text1"/>
          <w:sz w:val="44"/>
          <w:szCs w:val="44"/>
          <w14:textFill>
            <w14:solidFill>
              <w14:schemeClr w14:val="tx1"/>
            </w14:solidFill>
          </w14:textFill>
        </w:rPr>
      </w:pPr>
      <w:r>
        <w:rPr>
          <w:rFonts w:hint="eastAsia" w:eastAsia="方正小标宋简体"/>
          <w:color w:val="000000" w:themeColor="text1"/>
          <w:sz w:val="44"/>
          <w:szCs w:val="44"/>
          <w14:textFill>
            <w14:solidFill>
              <w14:schemeClr w14:val="tx1"/>
            </w14:solidFill>
          </w14:textFill>
        </w:rPr>
        <w:t>管理细则</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第一条 </w:t>
      </w:r>
      <w:r>
        <w:rPr>
          <w:rFonts w:ascii="仿宋" w:hAnsi="仿宋" w:eastAsia="仿宋"/>
          <w:color w:val="000000" w:themeColor="text1"/>
          <w:sz w:val="32"/>
          <w:szCs w:val="32"/>
          <w14:textFill>
            <w14:solidFill>
              <w14:schemeClr w14:val="tx1"/>
            </w14:solidFill>
          </w14:textFill>
        </w:rPr>
        <w:t>为做好我市电动汽车充电基础设施验收管理工作，根据《四川省公（专）用充电基础设施建设运营管理暂行办法》（川发改能源规〔2020〕380号）、《成都市电动汽车充电基础设施安全生产管理办法》（成经信发〔2020〕6号）等相关规定，特制定本</w:t>
      </w:r>
      <w:r>
        <w:rPr>
          <w:rFonts w:hint="eastAsia" w:ascii="仿宋" w:hAnsi="仿宋" w:eastAsia="仿宋"/>
          <w:color w:val="000000" w:themeColor="text1"/>
          <w:sz w:val="32"/>
          <w:szCs w:val="32"/>
          <w:lang w:eastAsia="zh-CN"/>
          <w14:textFill>
            <w14:solidFill>
              <w14:schemeClr w14:val="tx1"/>
            </w14:solidFill>
          </w14:textFill>
        </w:rPr>
        <w:t>细则</w:t>
      </w:r>
      <w:r>
        <w:rPr>
          <w:rFonts w:ascii="仿宋" w:hAnsi="仿宋" w:eastAsia="仿宋"/>
          <w:color w:val="000000" w:themeColor="text1"/>
          <w:sz w:val="32"/>
          <w:szCs w:val="32"/>
          <w14:textFill>
            <w14:solidFill>
              <w14:schemeClr w14:val="tx1"/>
            </w14:solidFill>
          </w14:textFill>
        </w:rPr>
        <w:t>。</w:t>
      </w:r>
    </w:p>
    <w:p>
      <w:pPr>
        <w:pStyle w:val="24"/>
        <w:snapToGrid w:val="0"/>
        <w:spacing w:line="600" w:lineRule="exact"/>
        <w:ind w:firstLine="640"/>
        <w:rPr>
          <w:rFonts w:ascii="Times New Roman" w:hAnsi="Times New Roman" w:eastAsia="方正仿宋简体"/>
          <w:color w:val="auto"/>
          <w:sz w:val="32"/>
          <w:szCs w:val="32"/>
        </w:rPr>
      </w:pPr>
      <w:r>
        <w:rPr>
          <w:rFonts w:hint="eastAsia" w:ascii="黑体" w:hAnsi="黑体" w:eastAsia="黑体" w:cs="黑体"/>
          <w:color w:val="000000" w:themeColor="text1"/>
          <w:sz w:val="32"/>
          <w:szCs w:val="32"/>
          <w14:textFill>
            <w14:solidFill>
              <w14:schemeClr w14:val="tx1"/>
            </w14:solidFill>
          </w14:textFill>
        </w:rPr>
        <w:t xml:space="preserve">第二条 </w:t>
      </w:r>
      <w:r>
        <w:rPr>
          <w:rFonts w:hint="eastAsia" w:ascii="Times New Roman" w:hAnsi="Times New Roman" w:eastAsia="方正仿宋简体"/>
          <w:color w:val="auto"/>
          <w:sz w:val="32"/>
          <w:szCs w:val="32"/>
        </w:rPr>
        <w:t>本</w:t>
      </w:r>
      <w:r>
        <w:rPr>
          <w:rFonts w:hint="eastAsia" w:ascii="Times New Roman" w:hAnsi="Times New Roman" w:eastAsia="方正仿宋简体"/>
          <w:color w:val="auto"/>
          <w:sz w:val="32"/>
          <w:szCs w:val="32"/>
          <w:lang w:eastAsia="zh-CN"/>
        </w:rPr>
        <w:t>细则</w:t>
      </w:r>
      <w:r>
        <w:rPr>
          <w:rFonts w:hint="eastAsia" w:ascii="Times New Roman" w:hAnsi="Times New Roman" w:eastAsia="方正仿宋简体"/>
          <w:color w:val="auto"/>
          <w:sz w:val="32"/>
          <w:szCs w:val="32"/>
        </w:rPr>
        <w:t>所称充电设施是指为电动汽车提供电能补给的充</w:t>
      </w:r>
      <w:r>
        <w:rPr>
          <w:rFonts w:hint="eastAsia" w:ascii="Times New Roman" w:hAnsi="Times New Roman" w:eastAsia="方正仿宋简体"/>
          <w:color w:val="auto"/>
          <w:sz w:val="32"/>
          <w:szCs w:val="32"/>
          <w:lang w:eastAsia="zh-CN"/>
        </w:rPr>
        <w:t>换</w:t>
      </w:r>
      <w:r>
        <w:rPr>
          <w:rFonts w:hint="eastAsia" w:ascii="Times New Roman" w:hAnsi="Times New Roman" w:eastAsia="方正仿宋简体"/>
          <w:color w:val="auto"/>
          <w:sz w:val="32"/>
          <w:szCs w:val="32"/>
        </w:rPr>
        <w:t>电设备及其他相关设施的总称。主要包括：</w:t>
      </w:r>
    </w:p>
    <w:p>
      <w:pPr>
        <w:tabs>
          <w:tab w:val="left" w:pos="1883"/>
        </w:tabs>
        <w:adjustRightInd w:val="0"/>
        <w:snapToGrid w:val="0"/>
        <w:spacing w:line="620" w:lineRule="exact"/>
        <w:ind w:firstLine="640" w:firstLineChars="200"/>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（一）自用充电设施：指在个人所有或</w:t>
      </w:r>
      <w:r>
        <w:rPr>
          <w:rFonts w:hint="eastAsia" w:ascii="仿宋" w:hAnsi="仿宋" w:eastAsia="仿宋"/>
          <w:color w:val="auto"/>
          <w:sz w:val="32"/>
          <w:szCs w:val="32"/>
        </w:rPr>
        <w:t>长期租赁（一年以上）</w:t>
      </w:r>
      <w:r>
        <w:rPr>
          <w:rFonts w:hint="eastAsia" w:ascii="Times New Roman" w:hAnsi="Times New Roman" w:eastAsia="方正仿宋简体"/>
          <w:color w:val="auto"/>
          <w:sz w:val="32"/>
          <w:szCs w:val="32"/>
        </w:rPr>
        <w:t>固定停车位建设，专为私人车辆服务的充电设施。</w:t>
      </w:r>
    </w:p>
    <w:p>
      <w:pPr>
        <w:tabs>
          <w:tab w:val="left" w:pos="1883"/>
        </w:tabs>
        <w:adjustRightInd w:val="0"/>
        <w:snapToGrid w:val="0"/>
        <w:spacing w:line="620" w:lineRule="exact"/>
        <w:ind w:firstLine="640"/>
        <w:rPr>
          <w:rFonts w:hint="eastAsia" w:ascii="Times New Roman" w:hAnsi="Times New Roman" w:eastAsia="方正仿宋简体"/>
          <w:color w:val="auto"/>
          <w:sz w:val="32"/>
          <w:szCs w:val="32"/>
          <w:lang w:eastAsia="zh-CN"/>
        </w:rPr>
      </w:pPr>
      <w:r>
        <w:rPr>
          <w:rFonts w:hint="eastAsia" w:ascii="Times New Roman" w:hAnsi="Times New Roman" w:eastAsia="方正仿宋简体"/>
          <w:color w:val="auto"/>
          <w:sz w:val="32"/>
          <w:szCs w:val="32"/>
        </w:rPr>
        <w:t>（二）专用充电设施：指在党政机关、企</w:t>
      </w:r>
      <w:r>
        <w:rPr>
          <w:rFonts w:hint="eastAsia" w:ascii="Times New Roman" w:hAnsi="Times New Roman" w:eastAsia="方正仿宋简体"/>
          <w:color w:val="auto"/>
          <w:sz w:val="32"/>
          <w:szCs w:val="32"/>
          <w:lang w:val="en-US" w:eastAsia="zh-CN"/>
        </w:rPr>
        <w:t>(</w:t>
      </w:r>
      <w:r>
        <w:rPr>
          <w:rFonts w:hint="eastAsia" w:ascii="Times New Roman" w:hAnsi="Times New Roman" w:eastAsia="方正仿宋简体"/>
          <w:color w:val="auto"/>
          <w:sz w:val="32"/>
          <w:szCs w:val="32"/>
        </w:rPr>
        <w:t>事</w:t>
      </w:r>
      <w:r>
        <w:rPr>
          <w:rFonts w:hint="eastAsia" w:ascii="Times New Roman" w:hAnsi="Times New Roman" w:eastAsia="方正仿宋简体"/>
          <w:color w:val="auto"/>
          <w:sz w:val="32"/>
          <w:szCs w:val="32"/>
          <w:lang w:val="en-US" w:eastAsia="zh-CN"/>
        </w:rPr>
        <w:t>)</w:t>
      </w:r>
      <w:r>
        <w:rPr>
          <w:rFonts w:hint="eastAsia" w:ascii="Times New Roman" w:hAnsi="Times New Roman" w:eastAsia="方正仿宋简体"/>
          <w:color w:val="auto"/>
          <w:sz w:val="32"/>
          <w:szCs w:val="32"/>
        </w:rPr>
        <w:t>业单位、</w:t>
      </w:r>
      <w:r>
        <w:rPr>
          <w:rFonts w:hint="eastAsia" w:ascii="Times New Roman" w:hAnsi="Times New Roman" w:eastAsia="方正仿宋简体"/>
          <w:color w:val="auto"/>
          <w:sz w:val="32"/>
          <w:szCs w:val="32"/>
          <w:lang w:eastAsia="zh-CN"/>
        </w:rPr>
        <w:t>社会团体、</w:t>
      </w:r>
      <w:r>
        <w:rPr>
          <w:rFonts w:hint="eastAsia" w:ascii="Times New Roman" w:hAnsi="Times New Roman" w:eastAsia="方正仿宋简体"/>
          <w:color w:val="auto"/>
          <w:sz w:val="32"/>
          <w:szCs w:val="32"/>
        </w:rPr>
        <w:t>园区等专属停车位，为</w:t>
      </w:r>
      <w:r>
        <w:rPr>
          <w:rFonts w:hint="eastAsia" w:ascii="Times New Roman" w:hAnsi="Times New Roman" w:eastAsia="方正仿宋简体"/>
          <w:color w:val="auto"/>
          <w:sz w:val="32"/>
          <w:szCs w:val="32"/>
          <w:lang w:eastAsia="zh-CN"/>
        </w:rPr>
        <w:t>公务车辆、员工车辆等</w:t>
      </w:r>
      <w:r>
        <w:rPr>
          <w:rFonts w:hint="eastAsia" w:ascii="Times New Roman" w:hAnsi="Times New Roman" w:eastAsia="方正仿宋简体"/>
          <w:color w:val="auto"/>
          <w:sz w:val="32"/>
          <w:szCs w:val="32"/>
        </w:rPr>
        <w:t>提供</w:t>
      </w:r>
      <w:r>
        <w:rPr>
          <w:rFonts w:hint="eastAsia" w:ascii="Times New Roman" w:hAnsi="Times New Roman" w:eastAsia="方正仿宋简体"/>
          <w:color w:val="auto"/>
          <w:sz w:val="32"/>
          <w:szCs w:val="32"/>
          <w:lang w:eastAsia="zh-CN"/>
        </w:rPr>
        <w:t>专属充电服务的充电基础设施，以及在公交车、客运汽车、出租车、环卫、物流等专用车站场所建设，为专用车辆等提供专属充电服务的充电基础设施。</w:t>
      </w:r>
    </w:p>
    <w:p>
      <w:pPr>
        <w:tabs>
          <w:tab w:val="left" w:pos="1883"/>
        </w:tabs>
        <w:adjustRightInd w:val="0"/>
        <w:snapToGrid w:val="0"/>
        <w:spacing w:line="620" w:lineRule="exact"/>
        <w:ind w:firstLine="640"/>
        <w:rPr>
          <w:rFonts w:hint="default" w:ascii="Times New Roman" w:hAnsi="Times New Roman" w:eastAsia="方正仿宋简体"/>
          <w:color w:val="auto"/>
          <w:sz w:val="32"/>
          <w:szCs w:val="32"/>
          <w:lang w:val="en-US" w:eastAsia="zh-CN"/>
        </w:rPr>
      </w:pPr>
      <w:r>
        <w:rPr>
          <w:rFonts w:hint="eastAsia" w:ascii="Times New Roman" w:hAnsi="Times New Roman" w:eastAsia="方正仿宋简体"/>
          <w:color w:val="auto"/>
          <w:sz w:val="32"/>
          <w:szCs w:val="32"/>
          <w:lang w:eastAsia="zh-CN"/>
        </w:rPr>
        <w:t>（三）公用充电设施：指在独立地块、社会公共停车场、住宅小区公共停车场、商业建筑物及酒店配建停车场、加油（气）站、高速公路服务区、交通枢纽、医院、园区景区等区域规划建设，面向社会车辆提供充电服务的充电基础设施。</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第三条 </w:t>
      </w:r>
      <w:r>
        <w:rPr>
          <w:rFonts w:ascii="仿宋" w:hAnsi="仿宋" w:eastAsia="仿宋"/>
          <w:color w:val="000000" w:themeColor="text1"/>
          <w:sz w:val="32"/>
          <w:szCs w:val="32"/>
          <w14:textFill>
            <w14:solidFill>
              <w14:schemeClr w14:val="tx1"/>
            </w14:solidFill>
          </w14:textFill>
        </w:rPr>
        <w:t>本市行政区域内新建、扩建或改建的各类充电设施验收工作适用本办法。</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仿宋" w:hAnsi="仿宋" w:eastAsia="仿宋"/>
          <w:color w:val="000000" w:themeColor="text1"/>
          <w:sz w:val="32"/>
          <w:szCs w:val="32"/>
          <w14:textFill>
            <w14:solidFill>
              <w14:schemeClr w14:val="tx1"/>
            </w14:solidFill>
          </w14:textFill>
        </w:rPr>
        <w:t>本办法</w:t>
      </w:r>
      <w:r>
        <w:rPr>
          <w:rFonts w:ascii="仿宋" w:hAnsi="仿宋" w:eastAsia="仿宋"/>
          <w:color w:val="000000" w:themeColor="text1"/>
          <w:sz w:val="32"/>
          <w:szCs w:val="32"/>
          <w14:textFill>
            <w14:solidFill>
              <w14:schemeClr w14:val="tx1"/>
            </w14:solidFill>
          </w14:textFill>
        </w:rPr>
        <w:t>充电设施验收范围包括充电设备</w:t>
      </w:r>
      <w:r>
        <w:rPr>
          <w:rFonts w:hint="eastAsia" w:ascii="仿宋" w:hAnsi="仿宋" w:eastAsia="仿宋"/>
          <w:color w:val="000000" w:themeColor="text1"/>
          <w:sz w:val="32"/>
          <w:szCs w:val="32"/>
          <w14:textFill>
            <w14:solidFill>
              <w14:schemeClr w14:val="tx1"/>
            </w14:solidFill>
          </w14:textFill>
        </w:rPr>
        <w:t>及其接入电源的相关</w:t>
      </w:r>
      <w:r>
        <w:rPr>
          <w:rFonts w:ascii="仿宋" w:hAnsi="仿宋" w:eastAsia="仿宋"/>
          <w:color w:val="000000" w:themeColor="text1"/>
          <w:sz w:val="32"/>
          <w:szCs w:val="32"/>
          <w14:textFill>
            <w14:solidFill>
              <w14:schemeClr w14:val="tx1"/>
            </w14:solidFill>
          </w14:textFill>
        </w:rPr>
        <w:t>设施</w:t>
      </w:r>
      <w:r>
        <w:rPr>
          <w:rFonts w:hint="eastAsia" w:ascii="仿宋" w:hAnsi="仿宋" w:eastAsia="仿宋"/>
          <w:color w:val="000000" w:themeColor="text1"/>
          <w:sz w:val="32"/>
          <w:szCs w:val="32"/>
          <w14:textFill>
            <w14:solidFill>
              <w14:schemeClr w14:val="tx1"/>
            </w14:solidFill>
          </w14:textFill>
        </w:rPr>
        <w:t>等，不含供电系统</w:t>
      </w:r>
      <w:r>
        <w:rPr>
          <w:rFonts w:ascii="仿宋" w:hAnsi="仿宋" w:eastAsia="仿宋"/>
          <w:color w:val="000000" w:themeColor="text1"/>
          <w:sz w:val="32"/>
          <w:szCs w:val="32"/>
          <w14:textFill>
            <w14:solidFill>
              <w14:schemeClr w14:val="tx1"/>
            </w14:solidFill>
          </w14:textFill>
        </w:rPr>
        <w:t>。</w:t>
      </w:r>
    </w:p>
    <w:p>
      <w:pPr>
        <w:pStyle w:val="24"/>
        <w:snapToGrid w:val="0"/>
        <w:spacing w:line="600" w:lineRule="exact"/>
        <w:ind w:firstLine="640"/>
        <w:rPr>
          <w:rFonts w:ascii="仿宋" w:hAnsi="仿宋" w:eastAsia="仿宋"/>
          <w:color w:val="FF0000"/>
          <w:sz w:val="32"/>
          <w:szCs w:val="32"/>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仿宋" w:hAnsi="仿宋" w:eastAsia="仿宋" w:cs="仿宋_GB2312"/>
          <w:color w:val="auto"/>
          <w:sz w:val="32"/>
          <w:szCs w:val="32"/>
        </w:rPr>
        <w:t>充电设施</w:t>
      </w:r>
      <w:r>
        <w:rPr>
          <w:rFonts w:hint="eastAsia" w:ascii="仿宋" w:hAnsi="仿宋" w:eastAsia="仿宋" w:cs="仿宋_GB2312"/>
          <w:color w:val="auto"/>
          <w:sz w:val="32"/>
          <w:szCs w:val="32"/>
          <w:lang w:val="en-US" w:eastAsia="zh-Hans"/>
        </w:rPr>
        <w:t>建设应符合国家、地方相关强制标准要求，鼓励</w:t>
      </w:r>
      <w:r>
        <w:rPr>
          <w:rFonts w:hint="eastAsia" w:ascii="仿宋" w:hAnsi="仿宋" w:eastAsia="仿宋"/>
          <w:color w:val="auto"/>
          <w:sz w:val="32"/>
          <w:szCs w:val="32"/>
          <w:lang w:eastAsia="zh-CN"/>
        </w:rPr>
        <w:t>按照</w:t>
      </w:r>
      <w:r>
        <w:rPr>
          <w:rFonts w:ascii="仿宋" w:hAnsi="仿宋" w:eastAsia="仿宋"/>
          <w:color w:val="auto"/>
          <w:sz w:val="32"/>
          <w:szCs w:val="32"/>
        </w:rPr>
        <w:t>GB/T 18487</w:t>
      </w:r>
      <w:r>
        <w:rPr>
          <w:rFonts w:hint="eastAsia" w:ascii="仿宋" w:hAnsi="仿宋" w:eastAsia="仿宋"/>
          <w:color w:val="auto"/>
          <w:sz w:val="32"/>
          <w:szCs w:val="32"/>
        </w:rPr>
        <w:t>、</w:t>
      </w:r>
      <w:r>
        <w:rPr>
          <w:rFonts w:ascii="仿宋" w:hAnsi="仿宋" w:eastAsia="仿宋"/>
          <w:color w:val="auto"/>
          <w:sz w:val="32"/>
          <w:szCs w:val="32"/>
        </w:rPr>
        <w:t>NB/T 33004</w:t>
      </w:r>
      <w:r>
        <w:rPr>
          <w:rFonts w:hint="eastAsia" w:ascii="仿宋" w:hAnsi="仿宋" w:eastAsia="仿宋"/>
          <w:color w:val="auto"/>
          <w:sz w:val="32"/>
          <w:szCs w:val="32"/>
        </w:rPr>
        <w:t>、N</w:t>
      </w:r>
      <w:r>
        <w:rPr>
          <w:rFonts w:ascii="仿宋" w:hAnsi="仿宋" w:eastAsia="仿宋"/>
          <w:color w:val="auto"/>
          <w:sz w:val="32"/>
          <w:szCs w:val="32"/>
        </w:rPr>
        <w:t>B/T 33008</w:t>
      </w:r>
      <w:r>
        <w:rPr>
          <w:rFonts w:hint="eastAsia" w:ascii="仿宋" w:hAnsi="仿宋" w:eastAsia="仿宋"/>
          <w:color w:val="auto"/>
          <w:sz w:val="32"/>
          <w:szCs w:val="32"/>
        </w:rPr>
        <w:t>、</w:t>
      </w:r>
      <w:r>
        <w:rPr>
          <w:rFonts w:ascii="仿宋" w:hAnsi="仿宋" w:eastAsia="仿宋"/>
          <w:color w:val="auto"/>
          <w:sz w:val="32"/>
          <w:szCs w:val="32"/>
        </w:rPr>
        <w:t>DB5101/T 71-2020等国家、行业和地方标准</w:t>
      </w:r>
      <w:r>
        <w:rPr>
          <w:rFonts w:hint="eastAsia" w:ascii="仿宋" w:hAnsi="仿宋" w:eastAsia="仿宋"/>
          <w:color w:val="auto"/>
          <w:sz w:val="32"/>
          <w:szCs w:val="32"/>
          <w:lang w:val="en-US" w:eastAsia="zh-Hans"/>
        </w:rPr>
        <w:t>进行</w:t>
      </w:r>
      <w:r>
        <w:rPr>
          <w:rFonts w:ascii="仿宋" w:hAnsi="仿宋" w:eastAsia="仿宋"/>
          <w:color w:val="auto"/>
          <w:sz w:val="32"/>
          <w:szCs w:val="32"/>
        </w:rPr>
        <w:t>验收。</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 w:hAnsi="仿宋" w:eastAsia="仿宋" w:cs="仿宋_GB2312"/>
          <w:color w:val="000000" w:themeColor="text1"/>
          <w:sz w:val="32"/>
          <w:szCs w:val="32"/>
          <w14:textFill>
            <w14:solidFill>
              <w14:schemeClr w14:val="tx1"/>
            </w14:solidFill>
          </w14:textFill>
        </w:rPr>
        <w:t>公用充</w:t>
      </w:r>
      <w:r>
        <w:rPr>
          <w:rFonts w:hint="eastAsia" w:ascii="仿宋" w:hAnsi="仿宋" w:eastAsia="仿宋"/>
          <w:color w:val="000000" w:themeColor="text1"/>
          <w:sz w:val="32"/>
          <w:szCs w:val="32"/>
          <w14:textFill>
            <w14:solidFill>
              <w14:schemeClr w14:val="tx1"/>
            </w14:solidFill>
          </w14:textFill>
        </w:rPr>
        <w:t>电设施项目须</w:t>
      </w:r>
      <w:r>
        <w:rPr>
          <w:rFonts w:ascii="仿宋" w:hAnsi="仿宋" w:eastAsia="仿宋"/>
          <w:color w:val="000000" w:themeColor="text1"/>
          <w:sz w:val="32"/>
          <w:szCs w:val="32"/>
          <w14:textFill>
            <w14:solidFill>
              <w14:schemeClr w14:val="tx1"/>
            </w14:solidFill>
          </w14:textFill>
        </w:rPr>
        <w:t>由充电设施</w:t>
      </w:r>
      <w:r>
        <w:rPr>
          <w:rFonts w:hint="eastAsia" w:ascii="仿宋" w:hAnsi="仿宋" w:eastAsia="仿宋"/>
          <w:color w:val="000000" w:themeColor="text1"/>
          <w:sz w:val="32"/>
          <w:szCs w:val="32"/>
          <w14:textFill>
            <w14:solidFill>
              <w14:schemeClr w14:val="tx1"/>
            </w14:solidFill>
          </w14:textFill>
        </w:rPr>
        <w:t>建设单位</w:t>
      </w:r>
      <w:r>
        <w:rPr>
          <w:rFonts w:ascii="仿宋" w:hAnsi="仿宋" w:eastAsia="仿宋"/>
          <w:color w:val="000000" w:themeColor="text1"/>
          <w:sz w:val="32"/>
          <w:szCs w:val="32"/>
          <w14:textFill>
            <w14:solidFill>
              <w14:schemeClr w14:val="tx1"/>
            </w14:solidFill>
          </w14:textFill>
        </w:rPr>
        <w:t>或其委托的运营单位自行委托具备</w:t>
      </w:r>
      <w:r>
        <w:rPr>
          <w:rFonts w:hint="eastAsia" w:ascii="仿宋" w:hAnsi="仿宋" w:eastAsia="仿宋"/>
          <w:color w:val="000000" w:themeColor="text1"/>
          <w:sz w:val="32"/>
          <w:szCs w:val="32"/>
          <w14:textFill>
            <w14:solidFill>
              <w14:schemeClr w14:val="tx1"/>
            </w14:solidFill>
          </w14:textFill>
        </w:rPr>
        <w:t>C</w:t>
      </w:r>
      <w:r>
        <w:rPr>
          <w:rFonts w:ascii="仿宋" w:hAnsi="仿宋" w:eastAsia="仿宋"/>
          <w:color w:val="000000" w:themeColor="text1"/>
          <w:sz w:val="32"/>
          <w:szCs w:val="32"/>
          <w14:textFill>
            <w14:solidFill>
              <w14:schemeClr w14:val="tx1"/>
            </w14:solidFill>
          </w14:textFill>
        </w:rPr>
        <w:t>MA资质的第三方专业机构</w:t>
      </w:r>
      <w:r>
        <w:rPr>
          <w:rFonts w:hint="eastAsia" w:ascii="仿宋" w:hAnsi="仿宋" w:eastAsia="仿宋"/>
          <w:color w:val="000000" w:themeColor="text1"/>
          <w:sz w:val="32"/>
          <w:szCs w:val="32"/>
          <w14:textFill>
            <w14:solidFill>
              <w14:schemeClr w14:val="tx1"/>
            </w14:solidFill>
          </w14:textFill>
        </w:rPr>
        <w:t>开展综合验收</w:t>
      </w:r>
      <w:r>
        <w:rPr>
          <w:rFonts w:ascii="仿宋" w:hAnsi="仿宋" w:eastAsia="仿宋"/>
          <w:color w:val="000000" w:themeColor="text1"/>
          <w:sz w:val="32"/>
          <w:szCs w:val="32"/>
          <w14:textFill>
            <w14:solidFill>
              <w14:schemeClr w14:val="tx1"/>
            </w14:solidFill>
          </w14:textFill>
        </w:rPr>
        <w:t>，验收报告</w:t>
      </w:r>
      <w:r>
        <w:rPr>
          <w:rFonts w:hint="eastAsia" w:ascii="仿宋" w:hAnsi="仿宋" w:eastAsia="仿宋"/>
          <w:color w:val="000000" w:themeColor="text1"/>
          <w:sz w:val="32"/>
          <w:szCs w:val="32"/>
          <w14:textFill>
            <w14:solidFill>
              <w14:schemeClr w14:val="tx1"/>
            </w14:solidFill>
          </w14:textFill>
        </w:rPr>
        <w:t>作</w:t>
      </w:r>
      <w:r>
        <w:rPr>
          <w:rFonts w:ascii="仿宋" w:hAnsi="仿宋" w:eastAsia="仿宋"/>
          <w:color w:val="000000" w:themeColor="text1"/>
          <w:sz w:val="32"/>
          <w:szCs w:val="32"/>
          <w14:textFill>
            <w14:solidFill>
              <w14:schemeClr w14:val="tx1"/>
            </w14:solidFill>
          </w14:textFill>
        </w:rPr>
        <w:t>为</w:t>
      </w:r>
      <w:r>
        <w:rPr>
          <w:rFonts w:hint="eastAsia" w:ascii="仿宋" w:hAnsi="仿宋" w:eastAsia="仿宋"/>
          <w:color w:val="000000" w:themeColor="text1"/>
          <w:sz w:val="32"/>
          <w:szCs w:val="32"/>
          <w14:textFill>
            <w14:solidFill>
              <w14:schemeClr w14:val="tx1"/>
            </w14:solidFill>
          </w14:textFill>
        </w:rPr>
        <w:t>对外提供</w:t>
      </w:r>
      <w:r>
        <w:rPr>
          <w:rFonts w:ascii="仿宋" w:hAnsi="仿宋" w:eastAsia="仿宋"/>
          <w:color w:val="000000" w:themeColor="text1"/>
          <w:sz w:val="32"/>
          <w:szCs w:val="32"/>
          <w14:textFill>
            <w14:solidFill>
              <w14:schemeClr w14:val="tx1"/>
            </w14:solidFill>
          </w14:textFill>
        </w:rPr>
        <w:t>运营</w:t>
      </w:r>
      <w:r>
        <w:rPr>
          <w:rFonts w:hint="eastAsia" w:ascii="仿宋" w:hAnsi="仿宋" w:eastAsia="仿宋"/>
          <w:color w:val="000000" w:themeColor="text1"/>
          <w:sz w:val="32"/>
          <w:szCs w:val="32"/>
          <w14:textFill>
            <w14:solidFill>
              <w14:schemeClr w14:val="tx1"/>
            </w14:solidFill>
          </w14:textFill>
        </w:rPr>
        <w:t>服务</w:t>
      </w:r>
      <w:r>
        <w:rPr>
          <w:rFonts w:ascii="仿宋" w:hAnsi="仿宋" w:eastAsia="仿宋"/>
          <w:color w:val="000000" w:themeColor="text1"/>
          <w:sz w:val="32"/>
          <w:szCs w:val="32"/>
          <w14:textFill>
            <w14:solidFill>
              <w14:schemeClr w14:val="tx1"/>
            </w14:solidFill>
          </w14:textFill>
        </w:rPr>
        <w:t>和申请财政奖补资金的必要条件。</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第七条 </w:t>
      </w:r>
      <w:r>
        <w:rPr>
          <w:rFonts w:ascii="仿宋" w:hAnsi="仿宋" w:eastAsia="仿宋"/>
          <w:color w:val="000000" w:themeColor="text1"/>
          <w:sz w:val="32"/>
          <w:szCs w:val="32"/>
          <w14:textFill>
            <w14:solidFill>
              <w14:schemeClr w14:val="tx1"/>
            </w14:solidFill>
          </w14:textFill>
        </w:rPr>
        <w:t>公用充电设施</w:t>
      </w:r>
      <w:r>
        <w:rPr>
          <w:rFonts w:hint="eastAsia" w:ascii="仿宋" w:hAnsi="仿宋" w:eastAsia="仿宋"/>
          <w:color w:val="000000" w:themeColor="text1"/>
          <w:sz w:val="32"/>
          <w:szCs w:val="32"/>
          <w14:textFill>
            <w14:solidFill>
              <w14:schemeClr w14:val="tx1"/>
            </w14:solidFill>
          </w14:textFill>
        </w:rPr>
        <w:t>综合</w:t>
      </w:r>
      <w:r>
        <w:rPr>
          <w:rFonts w:ascii="仿宋" w:hAnsi="仿宋" w:eastAsia="仿宋"/>
          <w:color w:val="000000" w:themeColor="text1"/>
          <w:sz w:val="32"/>
          <w:szCs w:val="32"/>
          <w14:textFill>
            <w14:solidFill>
              <w14:schemeClr w14:val="tx1"/>
            </w14:solidFill>
          </w14:textFill>
        </w:rPr>
        <w:t>验收</w:t>
      </w:r>
      <w:r>
        <w:rPr>
          <w:rFonts w:hint="eastAsia" w:ascii="仿宋" w:hAnsi="仿宋" w:eastAsia="仿宋"/>
          <w:color w:val="000000" w:themeColor="text1"/>
          <w:sz w:val="32"/>
          <w:szCs w:val="32"/>
          <w14:textFill>
            <w14:solidFill>
              <w14:schemeClr w14:val="tx1"/>
            </w14:solidFill>
          </w14:textFill>
        </w:rPr>
        <w:t>内容包括</w:t>
      </w:r>
      <w:r>
        <w:rPr>
          <w:rFonts w:ascii="仿宋" w:hAnsi="仿宋" w:eastAsia="仿宋"/>
          <w:color w:val="000000" w:themeColor="text1"/>
          <w:sz w:val="32"/>
          <w:szCs w:val="32"/>
          <w14:textFill>
            <w14:solidFill>
              <w14:schemeClr w14:val="tx1"/>
            </w14:solidFill>
          </w14:textFill>
        </w:rPr>
        <w:t>现场检查</w:t>
      </w:r>
      <w:r>
        <w:rPr>
          <w:rFonts w:hint="eastAsia" w:ascii="仿宋" w:hAnsi="仿宋" w:eastAsia="仿宋"/>
          <w:color w:val="000000" w:themeColor="text1"/>
          <w:sz w:val="32"/>
          <w:szCs w:val="32"/>
          <w14:textFill>
            <w14:solidFill>
              <w14:schemeClr w14:val="tx1"/>
            </w14:solidFill>
          </w14:textFill>
        </w:rPr>
        <w:t>（详见附件）</w:t>
      </w:r>
      <w:r>
        <w:rPr>
          <w:rFonts w:ascii="仿宋" w:hAnsi="仿宋" w:eastAsia="仿宋"/>
          <w:color w:val="000000" w:themeColor="text1"/>
          <w:sz w:val="32"/>
          <w:szCs w:val="32"/>
          <w14:textFill>
            <w14:solidFill>
              <w14:schemeClr w14:val="tx1"/>
            </w14:solidFill>
          </w14:textFill>
        </w:rPr>
        <w:t>和文件审查</w:t>
      </w:r>
      <w:r>
        <w:rPr>
          <w:rFonts w:hint="eastAsia" w:ascii="仿宋" w:hAnsi="仿宋" w:eastAsia="仿宋"/>
          <w:color w:val="000000" w:themeColor="text1"/>
          <w:sz w:val="32"/>
          <w:szCs w:val="32"/>
          <w14:textFill>
            <w14:solidFill>
              <w14:schemeClr w14:val="tx1"/>
            </w14:solidFill>
          </w14:textFill>
        </w:rPr>
        <w:t>两个方面</w:t>
      </w:r>
      <w:r>
        <w:rPr>
          <w:rFonts w:ascii="仿宋" w:hAnsi="仿宋" w:eastAsia="仿宋"/>
          <w:color w:val="000000" w:themeColor="text1"/>
          <w:sz w:val="32"/>
          <w:szCs w:val="32"/>
          <w14:textFill>
            <w14:solidFill>
              <w14:schemeClr w14:val="tx1"/>
            </w14:solidFill>
          </w14:textFill>
        </w:rPr>
        <w:t>。文件审查包括以下内容：</w:t>
      </w:r>
    </w:p>
    <w:p>
      <w:pPr>
        <w:snapToGrid w:val="0"/>
        <w:spacing w:line="60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（一）充电设施建设单位或其委托的运营单位以及</w:t>
      </w:r>
      <w:r>
        <w:rPr>
          <w:rFonts w:ascii="仿宋" w:hAnsi="仿宋" w:eastAsia="仿宋"/>
          <w:color w:val="000000" w:themeColor="text1"/>
          <w:kern w:val="0"/>
          <w:sz w:val="32"/>
          <w:szCs w:val="32"/>
          <w14:textFill>
            <w14:solidFill>
              <w14:schemeClr w14:val="tx1"/>
            </w14:solidFill>
          </w14:textFill>
        </w:rPr>
        <w:t>施工单位资质证明材料；</w:t>
      </w:r>
    </w:p>
    <w:p>
      <w:pPr>
        <w:snapToGrid w:val="0"/>
        <w:spacing w:line="60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（二）充电设备具备</w:t>
      </w:r>
      <w:r>
        <w:rPr>
          <w:rFonts w:ascii="仿宋" w:hAnsi="仿宋" w:eastAsia="仿宋"/>
          <w:color w:val="000000" w:themeColor="text1"/>
          <w:kern w:val="0"/>
          <w:sz w:val="32"/>
          <w:szCs w:val="32"/>
          <w14:textFill>
            <w14:solidFill>
              <w14:schemeClr w14:val="tx1"/>
            </w14:solidFill>
          </w14:textFill>
        </w:rPr>
        <w:t>第三方机构</w:t>
      </w:r>
      <w:r>
        <w:rPr>
          <w:rFonts w:hint="eastAsia" w:ascii="仿宋" w:hAnsi="仿宋" w:eastAsia="仿宋"/>
          <w:color w:val="000000" w:themeColor="text1"/>
          <w:kern w:val="0"/>
          <w:sz w:val="32"/>
          <w:szCs w:val="32"/>
          <w14:textFill>
            <w14:solidFill>
              <w14:schemeClr w14:val="tx1"/>
            </w14:solidFill>
          </w14:textFill>
        </w:rPr>
        <w:t>（CMA资质）出具的满足最新标准要求的</w:t>
      </w:r>
      <w:r>
        <w:rPr>
          <w:rFonts w:ascii="仿宋" w:hAnsi="仿宋" w:eastAsia="仿宋"/>
          <w:color w:val="000000" w:themeColor="text1"/>
          <w:kern w:val="0"/>
          <w:sz w:val="32"/>
          <w:szCs w:val="32"/>
          <w14:textFill>
            <w14:solidFill>
              <w14:schemeClr w14:val="tx1"/>
            </w14:solidFill>
          </w14:textFill>
        </w:rPr>
        <w:t>型式试验报告。</w:t>
      </w:r>
    </w:p>
    <w:p>
      <w:pPr>
        <w:snapToGrid w:val="0"/>
        <w:spacing w:line="60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（三）充电设施建设单位或其委托的运营单位</w:t>
      </w:r>
      <w:r>
        <w:rPr>
          <w:rFonts w:ascii="仿宋" w:hAnsi="仿宋" w:eastAsia="仿宋"/>
          <w:color w:val="000000" w:themeColor="text1"/>
          <w:kern w:val="0"/>
          <w:sz w:val="32"/>
          <w:szCs w:val="32"/>
          <w14:textFill>
            <w14:solidFill>
              <w14:schemeClr w14:val="tx1"/>
            </w14:solidFill>
          </w14:textFill>
        </w:rPr>
        <w:t>应急预案备案登记表；充电设施</w:t>
      </w:r>
      <w:r>
        <w:rPr>
          <w:rFonts w:hint="eastAsia" w:ascii="仿宋" w:hAnsi="仿宋" w:eastAsia="仿宋"/>
          <w:color w:val="000000" w:themeColor="text1"/>
          <w:kern w:val="0"/>
          <w:sz w:val="32"/>
          <w:szCs w:val="32"/>
          <w14:textFill>
            <w14:solidFill>
              <w14:schemeClr w14:val="tx1"/>
            </w14:solidFill>
          </w14:textFill>
        </w:rPr>
        <w:t>建设单位</w:t>
      </w:r>
      <w:r>
        <w:rPr>
          <w:rFonts w:ascii="仿宋" w:hAnsi="仿宋" w:eastAsia="仿宋"/>
          <w:color w:val="000000" w:themeColor="text1"/>
          <w:kern w:val="0"/>
          <w:sz w:val="32"/>
          <w:szCs w:val="32"/>
          <w14:textFill>
            <w14:solidFill>
              <w14:schemeClr w14:val="tx1"/>
            </w14:solidFill>
          </w14:textFill>
        </w:rPr>
        <w:t>与运营单位、场地权属单位与充电设施</w:t>
      </w:r>
      <w:r>
        <w:rPr>
          <w:rFonts w:hint="eastAsia" w:ascii="仿宋" w:hAnsi="仿宋" w:eastAsia="仿宋"/>
          <w:color w:val="000000" w:themeColor="text1"/>
          <w:kern w:val="0"/>
          <w:sz w:val="32"/>
          <w:szCs w:val="32"/>
          <w14:textFill>
            <w14:solidFill>
              <w14:schemeClr w14:val="tx1"/>
            </w14:solidFill>
          </w14:textFill>
        </w:rPr>
        <w:t>建设单位或运营单位</w:t>
      </w:r>
      <w:r>
        <w:rPr>
          <w:rFonts w:ascii="仿宋" w:hAnsi="仿宋" w:eastAsia="仿宋"/>
          <w:color w:val="000000" w:themeColor="text1"/>
          <w:kern w:val="0"/>
          <w:sz w:val="32"/>
          <w:szCs w:val="32"/>
          <w14:textFill>
            <w14:solidFill>
              <w14:schemeClr w14:val="tx1"/>
            </w14:solidFill>
          </w14:textFill>
        </w:rPr>
        <w:t>之间签署的安全生产管理协议。</w:t>
      </w:r>
    </w:p>
    <w:p>
      <w:pPr>
        <w:snapToGrid w:val="0"/>
        <w:spacing w:line="60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（四）充电设施建设单位或其委托的运营单位</w:t>
      </w:r>
      <w:r>
        <w:rPr>
          <w:rFonts w:ascii="仿宋" w:hAnsi="仿宋" w:eastAsia="仿宋"/>
          <w:color w:val="000000" w:themeColor="text1"/>
          <w:kern w:val="0"/>
          <w:sz w:val="32"/>
          <w:szCs w:val="32"/>
          <w14:textFill>
            <w14:solidFill>
              <w14:schemeClr w14:val="tx1"/>
            </w14:solidFill>
          </w14:textFill>
        </w:rPr>
        <w:t>按照要求自行</w:t>
      </w:r>
      <w:r>
        <w:rPr>
          <w:rFonts w:hint="eastAsia" w:ascii="仿宋" w:hAnsi="仿宋" w:eastAsia="仿宋"/>
          <w:color w:val="000000" w:themeColor="text1"/>
          <w:kern w:val="0"/>
          <w:sz w:val="32"/>
          <w:szCs w:val="32"/>
          <w14:textFill>
            <w14:solidFill>
              <w14:schemeClr w14:val="tx1"/>
            </w14:solidFill>
          </w14:textFill>
        </w:rPr>
        <w:t>组织开展的</w:t>
      </w:r>
      <w:r>
        <w:rPr>
          <w:rFonts w:ascii="仿宋" w:hAnsi="仿宋" w:eastAsia="仿宋"/>
          <w:color w:val="000000" w:themeColor="text1"/>
          <w:kern w:val="0"/>
          <w:sz w:val="32"/>
          <w:szCs w:val="32"/>
          <w14:textFill>
            <w14:solidFill>
              <w14:schemeClr w14:val="tx1"/>
            </w14:solidFill>
          </w14:textFill>
        </w:rPr>
        <w:t>竣工验收报告。</w:t>
      </w:r>
    </w:p>
    <w:p>
      <w:pPr>
        <w:pStyle w:val="29"/>
        <w:snapToGrid w:val="0"/>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w:t>
      </w:r>
      <w:r>
        <w:rPr>
          <w:rFonts w:ascii="仿宋" w:hAnsi="仿宋" w:eastAsia="仿宋"/>
          <w:color w:val="000000" w:themeColor="text1"/>
          <w:sz w:val="32"/>
          <w:szCs w:val="32"/>
          <w:highlight w:val="none"/>
          <w14:textFill>
            <w14:solidFill>
              <w14:schemeClr w14:val="tx1"/>
            </w14:solidFill>
          </w14:textFill>
        </w:rPr>
        <w:t>地下、半地下停车场装机功率大于1200kW的集中式充电</w:t>
      </w:r>
      <w:r>
        <w:rPr>
          <w:rFonts w:hint="eastAsia" w:ascii="仿宋" w:hAnsi="仿宋" w:eastAsia="仿宋"/>
          <w:color w:val="000000" w:themeColor="text1"/>
          <w:sz w:val="32"/>
          <w:szCs w:val="32"/>
          <w:highlight w:val="none"/>
          <w14:textFill>
            <w14:solidFill>
              <w14:schemeClr w14:val="tx1"/>
            </w14:solidFill>
          </w14:textFill>
        </w:rPr>
        <w:t>设施以及</w:t>
      </w:r>
      <w:r>
        <w:rPr>
          <w:rFonts w:ascii="仿宋" w:hAnsi="仿宋" w:eastAsia="仿宋"/>
          <w:color w:val="000000" w:themeColor="text1"/>
          <w:sz w:val="32"/>
          <w:szCs w:val="32"/>
          <w:highlight w:val="none"/>
          <w14:textFill>
            <w14:solidFill>
              <w14:schemeClr w14:val="tx1"/>
            </w14:solidFill>
          </w14:textFill>
        </w:rPr>
        <w:t>设置在加油站、加气站、燃气供配站等危险化学品生产、使用场所及附近的充电</w:t>
      </w:r>
      <w:r>
        <w:rPr>
          <w:rFonts w:hint="eastAsia" w:ascii="仿宋" w:hAnsi="仿宋" w:eastAsia="仿宋"/>
          <w:color w:val="000000" w:themeColor="text1"/>
          <w:sz w:val="32"/>
          <w:szCs w:val="32"/>
          <w:highlight w:val="none"/>
          <w14:textFill>
            <w14:solidFill>
              <w14:schemeClr w14:val="tx1"/>
            </w14:solidFill>
          </w14:textFill>
        </w:rPr>
        <w:t>设施须提供</w:t>
      </w:r>
      <w:r>
        <w:rPr>
          <w:rFonts w:ascii="仿宋" w:hAnsi="仿宋" w:eastAsia="仿宋"/>
          <w:color w:val="000000" w:themeColor="text1"/>
          <w:sz w:val="32"/>
          <w:szCs w:val="32"/>
          <w:highlight w:val="none"/>
          <w14:textFill>
            <w14:solidFill>
              <w14:schemeClr w14:val="tx1"/>
            </w14:solidFill>
          </w14:textFill>
        </w:rPr>
        <w:t>安全预评价和安全验收评价报告。</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ascii="仿宋" w:hAnsi="仿宋" w:eastAsia="仿宋"/>
          <w:color w:val="000000" w:themeColor="text1"/>
          <w:sz w:val="32"/>
          <w:szCs w:val="32"/>
          <w14:textFill>
            <w14:solidFill>
              <w14:schemeClr w14:val="tx1"/>
            </w14:solidFill>
          </w14:textFill>
        </w:rPr>
        <w:t>专用充电设施由</w:t>
      </w:r>
      <w:r>
        <w:rPr>
          <w:rFonts w:hint="eastAsia" w:ascii="仿宋" w:hAnsi="仿宋" w:eastAsia="仿宋"/>
          <w:color w:val="000000" w:themeColor="text1"/>
          <w:sz w:val="32"/>
          <w:szCs w:val="32"/>
          <w14:textFill>
            <w14:solidFill>
              <w14:schemeClr w14:val="tx1"/>
            </w14:solidFill>
          </w14:textFill>
        </w:rPr>
        <w:t>建设单位自行</w:t>
      </w:r>
      <w:r>
        <w:rPr>
          <w:rFonts w:ascii="仿宋" w:hAnsi="仿宋" w:eastAsia="仿宋"/>
          <w:color w:val="000000" w:themeColor="text1"/>
          <w:sz w:val="32"/>
          <w:szCs w:val="32"/>
          <w14:textFill>
            <w14:solidFill>
              <w14:schemeClr w14:val="tx1"/>
            </w14:solidFill>
          </w14:textFill>
        </w:rPr>
        <w:t>组织验收</w:t>
      </w:r>
      <w:r>
        <w:rPr>
          <w:rFonts w:hint="eastAsia" w:ascii="仿宋" w:hAnsi="仿宋" w:eastAsia="仿宋"/>
          <w:color w:val="000000" w:themeColor="text1"/>
          <w:sz w:val="32"/>
          <w:szCs w:val="32"/>
          <w14:textFill>
            <w14:solidFill>
              <w14:schemeClr w14:val="tx1"/>
            </w14:solidFill>
          </w14:textFill>
        </w:rPr>
        <w:t>，对外提供运营服务或申请财政补贴的专用充电设施项目，须按照本办法公用充电设施相关验收规定</w:t>
      </w:r>
      <w:r>
        <w:rPr>
          <w:rFonts w:ascii="仿宋" w:hAnsi="仿宋" w:eastAsia="仿宋"/>
          <w:color w:val="000000" w:themeColor="text1"/>
          <w:sz w:val="32"/>
          <w:szCs w:val="32"/>
          <w14:textFill>
            <w14:solidFill>
              <w14:schemeClr w14:val="tx1"/>
            </w14:solidFill>
          </w14:textFill>
        </w:rPr>
        <w:t>执行。</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ascii="仿宋" w:hAnsi="仿宋" w:eastAsia="仿宋"/>
          <w:color w:val="000000" w:themeColor="text1"/>
          <w:sz w:val="32"/>
          <w:szCs w:val="32"/>
          <w14:textFill>
            <w14:solidFill>
              <w14:schemeClr w14:val="tx1"/>
            </w14:solidFill>
          </w14:textFill>
        </w:rPr>
        <w:t>按照“谁安装、谁负责”原则，随车配送的</w:t>
      </w:r>
      <w:r>
        <w:rPr>
          <w:rFonts w:hint="eastAsia" w:ascii="仿宋" w:hAnsi="仿宋" w:eastAsia="仿宋"/>
          <w:color w:val="000000" w:themeColor="text1"/>
          <w:sz w:val="32"/>
          <w:szCs w:val="32"/>
          <w14:textFill>
            <w14:solidFill>
              <w14:schemeClr w14:val="tx1"/>
            </w14:solidFill>
          </w14:textFill>
        </w:rPr>
        <w:t>自用充电设施，由</w:t>
      </w:r>
      <w:r>
        <w:rPr>
          <w:rFonts w:ascii="仿宋" w:hAnsi="仿宋" w:eastAsia="仿宋"/>
          <w:color w:val="000000" w:themeColor="text1"/>
          <w:sz w:val="32"/>
          <w:szCs w:val="32"/>
          <w14:textFill>
            <w14:solidFill>
              <w14:schemeClr w14:val="tx1"/>
            </w14:solidFill>
          </w14:textFill>
        </w:rPr>
        <w:t>电动汽车生产（销售）企业</w:t>
      </w:r>
      <w:r>
        <w:rPr>
          <w:rFonts w:hint="eastAsia" w:ascii="仿宋" w:hAnsi="仿宋" w:eastAsia="仿宋"/>
          <w:color w:val="000000" w:themeColor="text1"/>
          <w:sz w:val="32"/>
          <w:szCs w:val="32"/>
          <w14:textFill>
            <w14:solidFill>
              <w14:schemeClr w14:val="tx1"/>
            </w14:solidFill>
          </w14:textFill>
        </w:rPr>
        <w:t>或其委托的充电设施安装企业</w:t>
      </w:r>
      <w:r>
        <w:rPr>
          <w:rFonts w:ascii="仿宋" w:hAnsi="仿宋" w:eastAsia="仿宋"/>
          <w:color w:val="000000" w:themeColor="text1"/>
          <w:sz w:val="32"/>
          <w:szCs w:val="32"/>
          <w14:textFill>
            <w14:solidFill>
              <w14:schemeClr w14:val="tx1"/>
            </w14:solidFill>
          </w14:textFill>
        </w:rPr>
        <w:t>组织验收</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居民个人购置的充电设施，应</w:t>
      </w:r>
      <w:r>
        <w:rPr>
          <w:rFonts w:hint="eastAsia" w:ascii="仿宋" w:hAnsi="仿宋" w:eastAsia="仿宋"/>
          <w:color w:val="000000" w:themeColor="text1"/>
          <w:sz w:val="32"/>
          <w:szCs w:val="32"/>
          <w14:textFill>
            <w14:solidFill>
              <w14:schemeClr w14:val="tx1"/>
            </w14:solidFill>
          </w14:textFill>
        </w:rPr>
        <w:t>委托</w:t>
      </w:r>
      <w:r>
        <w:rPr>
          <w:rFonts w:ascii="仿宋" w:hAnsi="仿宋" w:eastAsia="仿宋"/>
          <w:color w:val="000000" w:themeColor="text1"/>
          <w:sz w:val="32"/>
          <w:szCs w:val="32"/>
          <w14:textFill>
            <w14:solidFill>
              <w14:schemeClr w14:val="tx1"/>
            </w14:solidFill>
          </w14:textFill>
        </w:rPr>
        <w:t>具备相应资质的</w:t>
      </w:r>
      <w:r>
        <w:rPr>
          <w:rFonts w:hint="eastAsia" w:ascii="仿宋" w:hAnsi="仿宋" w:eastAsia="仿宋"/>
          <w:color w:val="000000" w:themeColor="text1"/>
          <w:sz w:val="32"/>
          <w:szCs w:val="32"/>
          <w14:textFill>
            <w14:solidFill>
              <w14:schemeClr w14:val="tx1"/>
            </w14:solidFill>
          </w14:textFill>
        </w:rPr>
        <w:t>充电设施安装企业施工并组织</w:t>
      </w:r>
      <w:r>
        <w:rPr>
          <w:rFonts w:ascii="仿宋" w:hAnsi="仿宋" w:eastAsia="仿宋"/>
          <w:color w:val="000000" w:themeColor="text1"/>
          <w:sz w:val="32"/>
          <w:szCs w:val="32"/>
          <w14:textFill>
            <w14:solidFill>
              <w14:schemeClr w14:val="tx1"/>
            </w14:solidFill>
          </w14:textFill>
        </w:rPr>
        <w:t>验收。物业服务机构应妥善保存</w:t>
      </w:r>
      <w:r>
        <w:rPr>
          <w:rFonts w:hint="eastAsia" w:ascii="仿宋" w:hAnsi="仿宋" w:eastAsia="仿宋"/>
          <w:color w:val="000000" w:themeColor="text1"/>
          <w:sz w:val="32"/>
          <w:szCs w:val="32"/>
          <w14:textFill>
            <w14:solidFill>
              <w14:schemeClr w14:val="tx1"/>
            </w14:solidFill>
          </w14:textFill>
        </w:rPr>
        <w:t>居民</w:t>
      </w:r>
      <w:r>
        <w:rPr>
          <w:rFonts w:ascii="仿宋" w:hAnsi="仿宋" w:eastAsia="仿宋"/>
          <w:color w:val="000000" w:themeColor="text1"/>
          <w:sz w:val="32"/>
          <w:szCs w:val="32"/>
          <w14:textFill>
            <w14:solidFill>
              <w14:schemeClr w14:val="tx1"/>
            </w14:solidFill>
          </w14:textFill>
        </w:rPr>
        <w:t>自用充电设施验收</w:t>
      </w:r>
      <w:r>
        <w:rPr>
          <w:rFonts w:hint="eastAsia" w:ascii="仿宋" w:hAnsi="仿宋" w:eastAsia="仿宋"/>
          <w:color w:val="000000" w:themeColor="text1"/>
          <w:sz w:val="32"/>
          <w:szCs w:val="32"/>
          <w14:textFill>
            <w14:solidFill>
              <w14:schemeClr w14:val="tx1"/>
            </w14:solidFill>
          </w14:textFill>
        </w:rPr>
        <w:t>合格</w:t>
      </w:r>
      <w:r>
        <w:rPr>
          <w:rFonts w:ascii="仿宋" w:hAnsi="仿宋" w:eastAsia="仿宋"/>
          <w:color w:val="000000" w:themeColor="text1"/>
          <w:sz w:val="32"/>
          <w:szCs w:val="32"/>
          <w14:textFill>
            <w14:solidFill>
              <w14:schemeClr w14:val="tx1"/>
            </w14:solidFill>
          </w14:textFill>
        </w:rPr>
        <w:t>报告。</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第十条 </w:t>
      </w:r>
      <w:r>
        <w:rPr>
          <w:rFonts w:ascii="仿宋" w:hAnsi="仿宋" w:eastAsia="仿宋"/>
          <w:color w:val="000000" w:themeColor="text1"/>
          <w:sz w:val="32"/>
          <w:szCs w:val="32"/>
          <w14:textFill>
            <w14:solidFill>
              <w14:schemeClr w14:val="tx1"/>
            </w14:solidFill>
          </w14:textFill>
        </w:rPr>
        <w:t>新建建筑物配建停车场以及新建城市公共停车场配建充电设施</w:t>
      </w:r>
      <w:r>
        <w:rPr>
          <w:rFonts w:hint="eastAsia" w:ascii="仿宋" w:hAnsi="仿宋" w:eastAsia="仿宋"/>
          <w:color w:val="000000" w:themeColor="text1"/>
          <w:sz w:val="32"/>
          <w:szCs w:val="32"/>
          <w14:textFill>
            <w14:solidFill>
              <w14:schemeClr w14:val="tx1"/>
            </w14:solidFill>
          </w14:textFill>
        </w:rPr>
        <w:t>纳入</w:t>
      </w:r>
      <w:r>
        <w:rPr>
          <w:rFonts w:ascii="仿宋" w:hAnsi="仿宋" w:eastAsia="仿宋"/>
          <w:color w:val="000000" w:themeColor="text1"/>
          <w:sz w:val="32"/>
          <w:szCs w:val="32"/>
          <w14:textFill>
            <w14:solidFill>
              <w14:schemeClr w14:val="tx1"/>
            </w14:solidFill>
          </w14:textFill>
        </w:rPr>
        <w:t>整体工程验收</w:t>
      </w:r>
      <w:r>
        <w:rPr>
          <w:rFonts w:hint="eastAsia" w:ascii="仿宋" w:hAnsi="仿宋" w:eastAsia="仿宋"/>
          <w:color w:val="000000" w:themeColor="text1"/>
          <w:sz w:val="32"/>
          <w:szCs w:val="32"/>
          <w14:textFill>
            <w14:solidFill>
              <w14:schemeClr w14:val="tx1"/>
            </w14:solidFill>
          </w14:textFill>
        </w:rPr>
        <w:t>范围</w:t>
      </w:r>
      <w:r>
        <w:rPr>
          <w:rFonts w:ascii="仿宋" w:hAnsi="仿宋" w:eastAsia="仿宋"/>
          <w:color w:val="000000" w:themeColor="text1"/>
          <w:sz w:val="32"/>
          <w:szCs w:val="32"/>
          <w14:textFill>
            <w14:solidFill>
              <w14:schemeClr w14:val="tx1"/>
            </w14:solidFill>
          </w14:textFill>
        </w:rPr>
        <w:t>，充电设施</w:t>
      </w:r>
      <w:r>
        <w:rPr>
          <w:rFonts w:hint="eastAsia" w:ascii="仿宋" w:hAnsi="仿宋" w:eastAsia="仿宋"/>
          <w:color w:val="000000" w:themeColor="text1"/>
          <w:sz w:val="32"/>
          <w:szCs w:val="32"/>
          <w14:textFill>
            <w14:solidFill>
              <w14:schemeClr w14:val="tx1"/>
            </w14:solidFill>
          </w14:textFill>
        </w:rPr>
        <w:t>行业</w:t>
      </w:r>
      <w:r>
        <w:rPr>
          <w:rFonts w:ascii="仿宋" w:hAnsi="仿宋" w:eastAsia="仿宋"/>
          <w:color w:val="000000" w:themeColor="text1"/>
          <w:sz w:val="32"/>
          <w:szCs w:val="32"/>
          <w14:textFill>
            <w14:solidFill>
              <w14:schemeClr w14:val="tx1"/>
            </w14:solidFill>
          </w14:textFill>
        </w:rPr>
        <w:t>主管部门配合</w:t>
      </w:r>
      <w:r>
        <w:rPr>
          <w:rFonts w:hint="eastAsia" w:ascii="仿宋" w:hAnsi="仿宋" w:eastAsia="仿宋"/>
          <w:color w:val="000000" w:themeColor="text1"/>
          <w:sz w:val="32"/>
          <w:szCs w:val="32"/>
          <w14:textFill>
            <w14:solidFill>
              <w14:schemeClr w14:val="tx1"/>
            </w14:solidFill>
          </w14:textFill>
        </w:rPr>
        <w:t>建设行政主管部门开展充电设施</w:t>
      </w:r>
      <w:r>
        <w:rPr>
          <w:rFonts w:ascii="仿宋" w:hAnsi="仿宋" w:eastAsia="仿宋"/>
          <w:color w:val="000000" w:themeColor="text1"/>
          <w:sz w:val="32"/>
          <w:szCs w:val="32"/>
          <w14:textFill>
            <w14:solidFill>
              <w14:schemeClr w14:val="tx1"/>
            </w14:solidFill>
          </w14:textFill>
        </w:rPr>
        <w:t>验收工作，重点验收配建比例及充电设备型式试验报告。</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第十一条 </w:t>
      </w:r>
      <w:r>
        <w:rPr>
          <w:rFonts w:ascii="仿宋" w:hAnsi="仿宋" w:eastAsia="仿宋"/>
          <w:color w:val="000000" w:themeColor="text1"/>
          <w:sz w:val="32"/>
          <w:szCs w:val="32"/>
          <w14:textFill>
            <w14:solidFill>
              <w14:schemeClr w14:val="tx1"/>
            </w14:solidFill>
          </w14:textFill>
        </w:rPr>
        <w:t>未经验收或验收不合格的充电设施不得投入使用，不得接入成都市新能源汽车及充电设施监测监管平台。</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国家和四川省对电动汽车充电设施验收有新的</w:t>
      </w:r>
      <w:r>
        <w:rPr>
          <w:rFonts w:hint="eastAsia" w:ascii="仿宋" w:hAnsi="仿宋" w:eastAsia="仿宋"/>
          <w:color w:val="000000" w:themeColor="text1"/>
          <w:sz w:val="32"/>
          <w:szCs w:val="32"/>
          <w14:textFill>
            <w14:solidFill>
              <w14:schemeClr w14:val="tx1"/>
            </w14:solidFill>
          </w14:textFill>
        </w:rPr>
        <w:t>规定的</w:t>
      </w:r>
      <w:r>
        <w:rPr>
          <w:rFonts w:ascii="仿宋" w:hAnsi="仿宋" w:eastAsia="仿宋"/>
          <w:color w:val="000000" w:themeColor="text1"/>
          <w:sz w:val="32"/>
          <w:szCs w:val="32"/>
          <w14:textFill>
            <w14:solidFill>
              <w14:schemeClr w14:val="tx1"/>
            </w14:solidFill>
          </w14:textFill>
        </w:rPr>
        <w:t>，从其规定。</w:t>
      </w:r>
    </w:p>
    <w:p>
      <w:pPr>
        <w:pStyle w:val="24"/>
        <w:snapToGrid w:val="0"/>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第十二条 </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细则</w:t>
      </w:r>
      <w:r>
        <w:rPr>
          <w:rFonts w:ascii="仿宋" w:hAnsi="仿宋" w:eastAsia="仿宋"/>
          <w:color w:val="000000" w:themeColor="text1"/>
          <w:sz w:val="32"/>
          <w:szCs w:val="32"/>
          <w14:textFill>
            <w14:solidFill>
              <w14:schemeClr w14:val="tx1"/>
            </w14:solidFill>
          </w14:textFill>
        </w:rPr>
        <w:t>由成都市经济和信息化局负责解释。</w:t>
      </w:r>
    </w:p>
    <w:p>
      <w:pPr>
        <w:pStyle w:val="29"/>
        <w:snapToGrid w:val="0"/>
        <w:spacing w:line="600" w:lineRule="exact"/>
        <w:ind w:firstLine="640" w:firstLineChars="200"/>
        <w:jc w:val="center"/>
        <w:outlineLvl w:val="1"/>
        <w:rPr>
          <w:rFonts w:ascii="黑体" w:hAnsi="黑体" w:eastAsia="黑体" w:cs="黑体"/>
          <w:color w:val="000000" w:themeColor="text1"/>
          <w:kern w:val="2"/>
          <w:sz w:val="32"/>
          <w:szCs w:val="32"/>
          <w14:textFill>
            <w14:solidFill>
              <w14:schemeClr w14:val="tx1"/>
            </w14:solidFill>
          </w14:textFill>
        </w:rPr>
      </w:pPr>
      <w:r>
        <w:rPr>
          <w:rFonts w:ascii="黑体" w:hAnsi="黑体" w:eastAsia="黑体" w:cs="黑体"/>
          <w:color w:val="000000" w:themeColor="text1"/>
          <w:kern w:val="2"/>
          <w:sz w:val="32"/>
          <w:szCs w:val="32"/>
          <w14:textFill>
            <w14:solidFill>
              <w14:schemeClr w14:val="tx1"/>
            </w14:solidFill>
          </w14:textFill>
        </w:rPr>
        <w:t>名词解释</w:t>
      </w:r>
    </w:p>
    <w:p>
      <w:pPr>
        <w:spacing w:line="600" w:lineRule="exact"/>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br w:type="page"/>
      </w:r>
    </w:p>
    <w:p>
      <w:pPr>
        <w:topLinePunct/>
        <w:adjustRightInd w:val="0"/>
        <w:snapToGrid w:val="0"/>
        <w:spacing w:line="600" w:lineRule="exact"/>
        <w:rPr>
          <w:rFonts w:ascii="Times New Roman" w:hAnsi="Times New Roman" w:eastAsia="方正黑体简体"/>
          <w:color w:val="000000" w:themeColor="text1"/>
          <w:sz w:val="32"/>
          <w:szCs w:val="32"/>
          <w14:textFill>
            <w14:solidFill>
              <w14:schemeClr w14:val="tx1"/>
            </w14:solidFill>
          </w14:textFill>
        </w:rPr>
      </w:pPr>
      <w:r>
        <w:rPr>
          <w:rFonts w:hint="eastAsia" w:ascii="Times New Roman" w:hAnsi="Times New Roman" w:eastAsia="方正黑体简体"/>
          <w:color w:val="000000" w:themeColor="text1"/>
          <w:sz w:val="32"/>
          <w:szCs w:val="32"/>
          <w14:textFill>
            <w14:solidFill>
              <w14:schemeClr w14:val="tx1"/>
            </w14:solidFill>
          </w14:textFill>
        </w:rPr>
        <w:t>附件</w:t>
      </w:r>
    </w:p>
    <w:p>
      <w:pPr>
        <w:pStyle w:val="29"/>
        <w:snapToGrid w:val="0"/>
        <w:spacing w:before="315" w:beforeLines="100" w:after="315" w:afterLines="100" w:line="600" w:lineRule="exact"/>
        <w:jc w:val="center"/>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充电场站综合验收现场检查项目表</w:t>
      </w:r>
    </w:p>
    <w:tbl>
      <w:tblPr>
        <w:tblStyle w:val="10"/>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6455"/>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eastAsia="仿宋_GB2312"/>
                <w:color w:val="000000" w:themeColor="text1"/>
                <w:kern w:val="0"/>
                <w:sz w:val="28"/>
                <w:szCs w:val="28"/>
                <w14:textFill>
                  <w14:solidFill>
                    <w14:schemeClr w14:val="tx1"/>
                  </w14:solidFill>
                </w14:textFill>
              </w:rPr>
            </w:pPr>
            <w:r>
              <w:rPr>
                <w:rFonts w:hint="eastAsia" w:ascii="黑体" w:hAnsi="黑体" w:eastAsia="黑体" w:cs="黑体"/>
                <w:b/>
                <w:color w:val="000000" w:themeColor="text1"/>
                <w:kern w:val="0"/>
                <w:sz w:val="28"/>
                <w:szCs w:val="28"/>
                <w14:textFill>
                  <w14:solidFill>
                    <w14:schemeClr w14:val="tx1"/>
                  </w14:solidFill>
                </w14:textFill>
              </w:rPr>
              <w:t>一、项目选址与周边环境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序号</w:t>
            </w: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楷体简体" w:hAnsi="方正楷体简体" w:eastAsia="方正楷体简体" w:cs="方正楷体简体"/>
                <w:b/>
                <w:bCs/>
                <w:color w:val="000000" w:themeColor="text1"/>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验收内容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是否合格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充电设施不应设在易积水的场所；充电设备设</w:t>
            </w:r>
            <w:r>
              <w:rPr>
                <w:rFonts w:hint="eastAsia" w:ascii="仿宋" w:hAnsi="仿宋" w:eastAsia="仿宋"/>
                <w:color w:val="000000" w:themeColor="text1"/>
                <w:szCs w:val="21"/>
                <w14:textFill>
                  <w14:solidFill>
                    <w14:schemeClr w14:val="tx1"/>
                  </w14:solidFill>
                </w14:textFill>
              </w:rPr>
              <w:t>置</w:t>
            </w:r>
            <w:r>
              <w:rPr>
                <w:rFonts w:ascii="仿宋" w:hAnsi="仿宋" w:eastAsia="仿宋"/>
                <w:color w:val="000000" w:themeColor="text1"/>
                <w:szCs w:val="21"/>
                <w14:textFill>
                  <w14:solidFill>
                    <w14:schemeClr w14:val="tx1"/>
                  </w14:solidFill>
                </w14:textFill>
              </w:rPr>
              <w:t>在厕所、浴室、厨房或其他经常积水场所的正下方</w:t>
            </w:r>
            <w:r>
              <w:rPr>
                <w:rFonts w:hint="eastAsia" w:ascii="仿宋" w:hAnsi="仿宋" w:eastAsia="仿宋"/>
                <w:color w:val="000000" w:themeColor="text1"/>
                <w:szCs w:val="21"/>
                <w14:textFill>
                  <w14:solidFill>
                    <w14:schemeClr w14:val="tx1"/>
                  </w14:solidFill>
                </w14:textFill>
              </w:rPr>
              <w:t>时</w:t>
            </w:r>
            <w:r>
              <w:rPr>
                <w:rFonts w:ascii="仿宋" w:hAnsi="仿宋" w:eastAsia="仿宋"/>
                <w:color w:val="000000" w:themeColor="text1"/>
                <w:szCs w:val="21"/>
                <w14:textFill>
                  <w14:solidFill>
                    <w14:schemeClr w14:val="tx1"/>
                  </w14:solidFill>
                </w14:textFill>
              </w:rPr>
              <w:t>，应采取预防渗漏水和排水的措施或选用相应防护等级的设施。</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充电设施不应设在有剧烈振动或高温的场所。</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当充电设施设置在地下或半地下时，不应布置在地下建筑四层及以下。</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室内设置充电设备的区域宜采用自然通风，当自然通风不满足要求时，应采用机械通风或复合通风。通风管道应采用不燃材料制作。</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充电设施设置在爆炸危险环境时，应符合《爆炸危险环境电力装置设计规范》GB50058-2014。</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黑体" w:hAnsi="黑体" w:eastAsia="黑体" w:cs="黑体"/>
                <w:b/>
                <w:bCs/>
                <w:color w:val="000000" w:themeColor="text1"/>
                <w:kern w:val="0"/>
                <w:sz w:val="28"/>
                <w:szCs w:val="28"/>
                <w14:textFill>
                  <w14:solidFill>
                    <w14:schemeClr w14:val="tx1"/>
                  </w14:solidFill>
                </w14:textFill>
              </w:rPr>
              <w:t>二、总平面布置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序号</w:t>
            </w: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验收内容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是否合格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b/>
                <w:bCs/>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户外安装的充电设备的基础应高于所在地坪0.2m，户内安装的充电设备的基础应高于所在地坪0.05m。</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充电设备的布置不应妨碍其他车辆的充电和通行，同时应采取保护充电设备及操作人员安全的措施。</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充电站内道路的设置应满足消防及服务车辆通行的要求，站点的出入口不宜少于2个，当充电站的车位不超过50个，可设置1个出入口</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入口和出口宜分开设置，并有明确指示标识。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非车载充电机或交流充电桩与站内汽车通道（或充电车位）相邻一侧，应设置车</w:t>
            </w:r>
            <w:r>
              <w:rPr>
                <w:rFonts w:hint="eastAsia" w:ascii="仿宋" w:hAnsi="仿宋" w:eastAsia="仿宋"/>
                <w:color w:val="000000" w:themeColor="text1"/>
                <w:szCs w:val="21"/>
                <w14:textFill>
                  <w14:solidFill>
                    <w14:schemeClr w14:val="tx1"/>
                  </w14:solidFill>
                </w14:textFill>
              </w:rPr>
              <w:t>挡</w:t>
            </w:r>
            <w:r>
              <w:rPr>
                <w:rFonts w:ascii="仿宋" w:hAnsi="仿宋" w:eastAsia="仿宋"/>
                <w:color w:val="000000" w:themeColor="text1"/>
                <w:szCs w:val="21"/>
                <w14:textFill>
                  <w14:solidFill>
                    <w14:schemeClr w14:val="tx1"/>
                  </w14:solidFill>
                </w14:textFill>
              </w:rPr>
              <w:t>或防撞（柱）栏，防撞（柱）栏的高度不应小于0.5m。</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eastAsia="仿宋_GB2312"/>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 w:val="28"/>
                <w:szCs w:val="28"/>
                <w14:textFill>
                  <w14:solidFill>
                    <w14:schemeClr w14:val="tx1"/>
                  </w14:solidFill>
                </w14:textFill>
              </w:rPr>
              <w:t>三、安全技术及管理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序号</w:t>
            </w: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楷体简体" w:hAnsi="方正楷体简体" w:eastAsia="方正楷体简体" w:cs="方正楷体简体"/>
                <w:color w:val="000000" w:themeColor="text1"/>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验收内容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是否合格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充电设备基础底座内部电缆入口处应进行防火封堵，充电设施管线在穿越建筑外墙、隔墙、楼板后留下的空隙，应采用防火材料进行封堵。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室内安装充电桩的防护等级不应低于IP32，室内有淋水风险以及在室外安装的充电桩防护等级不应低于IP54。</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用户通过设备通风孔等开孔不能接触到内部危险带电部件。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充电桩及配电柜内部导电部位无潮湿物或铁屑等导电物。</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电气设备外部周边应无易燃或导电杂物、垃圾。</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枪头</w:t>
            </w:r>
            <w:r>
              <w:rPr>
                <w:rFonts w:hint="eastAsia" w:ascii="仿宋" w:hAnsi="仿宋" w:eastAsia="仿宋"/>
                <w:color w:val="000000" w:themeColor="text1"/>
                <w:szCs w:val="21"/>
                <w14:textFill>
                  <w14:solidFill>
                    <w14:schemeClr w14:val="tx1"/>
                  </w14:solidFill>
                </w14:textFill>
              </w:rPr>
              <w:t>带电部位</w:t>
            </w:r>
            <w:r>
              <w:rPr>
                <w:rFonts w:ascii="仿宋" w:hAnsi="仿宋" w:eastAsia="仿宋"/>
                <w:color w:val="000000" w:themeColor="text1"/>
                <w:szCs w:val="21"/>
                <w14:textFill>
                  <w14:solidFill>
                    <w14:schemeClr w14:val="tx1"/>
                  </w14:solidFill>
                </w14:textFill>
              </w:rPr>
              <w:t>未有损坏，充电电缆无破损，充电功能正常。</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充电站应在醒目位置设置易于辨认和耐久的安全警告标志或警句。高压、非工作人员禁入区域要有安全警告标识。</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充电设备布置应预留设备维护检修空间。</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eastAsia="仿宋_GB2312"/>
                <w:b/>
                <w:color w:val="000000" w:themeColor="text1"/>
                <w:kern w:val="0"/>
                <w:szCs w:val="21"/>
                <w14:textFill>
                  <w14:solidFill>
                    <w14:schemeClr w14:val="tx1"/>
                  </w14:solidFill>
                </w14:textFill>
              </w:rPr>
            </w:pPr>
            <w:r>
              <w:rPr>
                <w:rFonts w:hint="eastAsia" w:ascii="黑体" w:hAnsi="黑体" w:eastAsia="黑体" w:cs="黑体"/>
                <w:b/>
                <w:color w:val="000000" w:themeColor="text1"/>
                <w:kern w:val="0"/>
                <w:sz w:val="28"/>
                <w:szCs w:val="28"/>
                <w14:textFill>
                  <w14:solidFill>
                    <w14:schemeClr w14:val="tx1"/>
                  </w14:solidFill>
                </w14:textFill>
              </w:rPr>
              <w:t>四、交流充电桩检测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序号</w:t>
            </w: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楷体简体" w:hAnsi="方正楷体简体" w:eastAsia="方正楷体简体" w:cs="方正楷体简体"/>
                <w:color w:val="000000" w:themeColor="text1"/>
                <w:sz w:val="28"/>
                <w:szCs w:val="28"/>
                <w:highlight w:val="yellow"/>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验收内容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是否合格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一致性检查：生产企业提供的交流充电桩型式试验报告所列型号向下兼容现场实际使用设备型号。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外观检查：a)检查充电桩（含充电连接装置）的外壳应平整，无明显凹凸痕、划伤、变形等足以影响设备安全的缺陷；</w:t>
            </w:r>
          </w:p>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b)</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内部零部件（包括连接装置内触头）应紧固可靠，无锈蚀、毛刺、裂纹等缺陷和损伤。</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内部检查：a)检查充电设备进出线孔封堵情况，所有不借助专用工具可拆卸的门盖或外壳的进出线孔应良好封堵，无肉眼可见明显缝隙；</w:t>
            </w:r>
          </w:p>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b)检查线缆安装状况，充电设备内部电源进线、出线应布置整齐，并可靠固定，无表皮破损；</w:t>
            </w:r>
          </w:p>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c)充电设备输入输出线缆绝缘无老化、腐蚀和损伤痕迹，端子无过热痕迹，无火花放电痕迹；</w:t>
            </w:r>
          </w:p>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d)检查桩内应无异物；检查充电机散热口灰积异物。</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标志检查：目测检查充电机上接线、接地及安全标志应正确、完整。</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绝缘电阻试验：满足NB/T 33008.2-2018标准中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.11.1</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接地试验：满足NB/T 33008.2-2018标准中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.12</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过流试验：</w:t>
            </w:r>
            <w:r>
              <w:rPr>
                <w:rFonts w:ascii="仿宋" w:hAnsi="仿宋" w:eastAsia="仿宋"/>
                <w:color w:val="000000" w:themeColor="text1"/>
                <w:szCs w:val="21"/>
                <w14:textFill>
                  <w14:solidFill>
                    <w14:schemeClr w14:val="tx1"/>
                  </w14:solidFill>
                </w14:textFill>
              </w:rPr>
              <w:t>满足NB/T 33008.2-2018标准中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.14.7</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急停试验：对于安装急停开关的充电桩，连接试验系统，并设置在额定负载状态下运行，按急停开关，检查充电桩应切断交流供电回路并发出告警。</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09"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eastAsia="仿宋_GB2312"/>
                <w:color w:val="000000" w:themeColor="text1"/>
                <w:kern w:val="0"/>
                <w:szCs w:val="21"/>
                <w14:textFill>
                  <w14:solidFill>
                    <w14:schemeClr w14:val="tx1"/>
                  </w14:solidFill>
                </w14:textFill>
              </w:rPr>
            </w:pPr>
            <w:r>
              <w:rPr>
                <w:rFonts w:hint="eastAsia" w:ascii="黑体" w:hAnsi="黑体" w:eastAsia="黑体" w:cs="黑体"/>
                <w:b/>
                <w:color w:val="000000" w:themeColor="text1"/>
                <w:kern w:val="0"/>
                <w:sz w:val="28"/>
                <w:szCs w:val="28"/>
                <w14:textFill>
                  <w14:solidFill>
                    <w14:schemeClr w14:val="tx1"/>
                  </w14:solidFill>
                </w14:textFill>
              </w:rPr>
              <w:t>五、非车载充电机检测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序号</w:t>
            </w: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textAlignment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验收内容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sz w:val="28"/>
                <w:szCs w:val="28"/>
                <w14:textFill>
                  <w14:solidFill>
                    <w14:schemeClr w14:val="tx1"/>
                  </w14:solidFill>
                </w14:textFill>
              </w:rPr>
              <w:t>是否合格</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方正楷体简体" w:hAnsi="方正楷体简体" w:eastAsia="方正楷体简体" w:cs="方正楷体简体"/>
                <w:color w:val="000000" w:themeColor="text1"/>
                <w:kern w:val="0"/>
                <w:sz w:val="28"/>
                <w:szCs w:val="28"/>
                <w14:textFill>
                  <w14:solidFill>
                    <w14:schemeClr w14:val="tx1"/>
                  </w14:solidFill>
                </w14:textFill>
              </w:rPr>
            </w:pPr>
            <w:r>
              <w:rPr>
                <w:rFonts w:hint="eastAsia" w:ascii="方正楷体简体" w:hAnsi="方正楷体简体" w:eastAsia="方正楷体简体" w:cs="方正楷体简体"/>
                <w:b/>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一致性检查：生产企业提供的非车载充电机型式试验报告所列型号向下兼容现场实际使用设备型号。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外观检查：a)检查充电机（含充电连接装置）的外壳应平整，无明显凹凸痕、划伤、变形等缺陷；</w:t>
            </w:r>
          </w:p>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b)</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内部零部件（包括连接装置内触头）应紧固可靠，无锈蚀、毛刺、裂纹等缺陷和损伤。</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内部检查：a)检查充电设备进出线孔封堵情况，所有不借助专用工具可拆卸的门盖或外壳的进出线孔应良好封堵，无肉眼可见明显缝隙；</w:t>
            </w:r>
          </w:p>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b)</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检查线缆安装状况，充电设备内部电源进线、出线应布置整齐，并可靠固定，无表皮破损；</w:t>
            </w:r>
          </w:p>
          <w:p>
            <w:pPr>
              <w:snapToGrid w:val="0"/>
              <w:spacing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c)</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充电设备输入输出线缆绝缘无老化、腐蚀和损伤痕迹，端子无过热痕迹，无火花放电痕迹；</w:t>
            </w:r>
          </w:p>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d)</w:t>
            </w:r>
            <w:r>
              <w:rPr>
                <w:rFonts w:hint="eastAsia" w:ascii="仿宋" w:hAnsi="仿宋" w:eastAsia="仿宋"/>
                <w:color w:val="000000" w:themeColor="text1"/>
                <w:szCs w:val="21"/>
                <w14:textFill>
                  <w14:solidFill>
                    <w14:schemeClr w14:val="tx1"/>
                  </w14:solidFill>
                </w14:textFill>
              </w:rPr>
              <w:tab/>
            </w:r>
            <w:r>
              <w:rPr>
                <w:rFonts w:hint="eastAsia" w:ascii="仿宋" w:hAnsi="仿宋" w:eastAsia="仿宋"/>
                <w:color w:val="000000" w:themeColor="text1"/>
                <w:szCs w:val="21"/>
                <w14:textFill>
                  <w14:solidFill>
                    <w14:schemeClr w14:val="tx1"/>
                  </w14:solidFill>
                </w14:textFill>
              </w:rPr>
              <w:t>检查桩内应无异物；检查充电机散热口灰积异物。</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标志检查：目测检查充电机上接线、接地及安全标志应正确、完整。</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eastAsia="仿宋_GB2312"/>
                <w:b/>
                <w:bCs/>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绝缘检测功能试验：</w:t>
            </w:r>
            <w:r>
              <w:rPr>
                <w:rFonts w:ascii="仿宋" w:hAnsi="仿宋" w:eastAsia="仿宋"/>
                <w:color w:val="000000" w:themeColor="text1"/>
                <w:szCs w:val="21"/>
                <w14:textFill>
                  <w14:solidFill>
                    <w14:schemeClr w14:val="tx1"/>
                  </w14:solidFill>
                </w14:textFill>
              </w:rPr>
              <w:t>满足NB/T 33008.1-2018标准</w:t>
            </w:r>
            <w:r>
              <w:rPr>
                <w:rFonts w:hint="eastAsia" w:ascii="仿宋" w:hAnsi="仿宋" w:eastAsia="仿宋"/>
                <w:color w:val="000000" w:themeColor="text1"/>
                <w:szCs w:val="21"/>
                <w14:textFill>
                  <w14:solidFill>
                    <w14:schemeClr w14:val="tx1"/>
                  </w14:solidFill>
                </w14:textFill>
              </w:rPr>
              <w:t>中5</w:t>
            </w:r>
            <w:r>
              <w:rPr>
                <w:rFonts w:ascii="仿宋" w:hAnsi="仿宋" w:eastAsia="仿宋"/>
                <w:color w:val="000000" w:themeColor="text1"/>
                <w:szCs w:val="21"/>
                <w14:textFill>
                  <w14:solidFill>
                    <w14:schemeClr w14:val="tx1"/>
                  </w14:solidFill>
                </w14:textFill>
              </w:rPr>
              <w:t>.3.3</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b/>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绝缘电阻试验：满足NB/T 33008.1-2018标准中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.10.1</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接地试验：满足NB/T 33008.1-2018标准中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.11</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急停功能试验：</w:t>
            </w:r>
            <w:r>
              <w:rPr>
                <w:rFonts w:ascii="仿宋" w:hAnsi="仿宋" w:eastAsia="仿宋"/>
                <w:color w:val="000000" w:themeColor="text1"/>
                <w:szCs w:val="21"/>
                <w14:textFill>
                  <w14:solidFill>
                    <w14:schemeClr w14:val="tx1"/>
                  </w14:solidFill>
                </w14:textFill>
              </w:rPr>
              <w:t>满足NB/T 33008.1-2018标准中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.3.10</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开门保护试验：</w:t>
            </w:r>
            <w:r>
              <w:rPr>
                <w:rFonts w:ascii="仿宋" w:hAnsi="仿宋" w:eastAsia="仿宋"/>
                <w:color w:val="000000" w:themeColor="text1"/>
                <w:szCs w:val="21"/>
                <w14:textFill>
                  <w14:solidFill>
                    <w14:schemeClr w14:val="tx1"/>
                  </w14:solidFill>
                </w14:textFill>
              </w:rPr>
              <w:t>满足NB/T 33008.1-2018标准中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.4.6</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4"/>
              </w:numPr>
              <w:snapToGrid w:val="0"/>
              <w:spacing w:line="360" w:lineRule="auto"/>
              <w:ind w:firstLineChars="0"/>
              <w:jc w:val="center"/>
              <w:rPr>
                <w:rFonts w:ascii="仿宋" w:hAnsi="仿宋" w:eastAsia="仿宋"/>
                <w:color w:val="000000" w:themeColor="text1"/>
                <w:szCs w:val="21"/>
                <w14:textFill>
                  <w14:solidFill>
                    <w14:schemeClr w14:val="tx1"/>
                  </w14:solidFill>
                </w14:textFill>
              </w:rPr>
            </w:pPr>
          </w:p>
        </w:tc>
        <w:tc>
          <w:tcPr>
            <w:tcW w:w="64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textAlignment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保护接地</w:t>
            </w:r>
            <w:r>
              <w:rPr>
                <w:rFonts w:hint="eastAsia" w:ascii="仿宋" w:hAnsi="仿宋" w:eastAsia="仿宋"/>
                <w:color w:val="000000" w:themeColor="text1"/>
                <w:szCs w:val="21"/>
                <w14:textFill>
                  <w14:solidFill>
                    <w14:schemeClr w14:val="tx1"/>
                  </w14:solidFill>
                </w14:textFill>
              </w:rPr>
              <w:t>导体</w:t>
            </w:r>
            <w:r>
              <w:rPr>
                <w:rFonts w:ascii="仿宋" w:hAnsi="仿宋" w:eastAsia="仿宋"/>
                <w:color w:val="000000" w:themeColor="text1"/>
                <w:szCs w:val="21"/>
                <w14:textFill>
                  <w14:solidFill>
                    <w14:schemeClr w14:val="tx1"/>
                  </w14:solidFill>
                </w14:textFill>
              </w:rPr>
              <w:t>连续性试验：满足NB/T 33008.1-2018标准中</w:t>
            </w:r>
            <w:r>
              <w:rPr>
                <w:rFonts w:hint="eastAsia" w:ascii="仿宋" w:hAnsi="仿宋" w:eastAsia="仿宋"/>
                <w:color w:val="000000" w:themeColor="text1"/>
                <w:szCs w:val="21"/>
                <w14:textFill>
                  <w14:solidFill>
                    <w14:schemeClr w14:val="tx1"/>
                  </w14:solidFill>
                </w14:textFill>
              </w:rPr>
              <w:t>5</w:t>
            </w:r>
            <w:r>
              <w:rPr>
                <w:rFonts w:ascii="仿宋" w:hAnsi="仿宋" w:eastAsia="仿宋"/>
                <w:color w:val="000000" w:themeColor="text1"/>
                <w:szCs w:val="21"/>
                <w14:textFill>
                  <w14:solidFill>
                    <w14:schemeClr w14:val="tx1"/>
                  </w14:solidFill>
                </w14:textFill>
              </w:rPr>
              <w:t>.15.5</w:t>
            </w:r>
            <w:r>
              <w:rPr>
                <w:rFonts w:hint="eastAsia" w:ascii="仿宋" w:hAnsi="仿宋" w:eastAsia="仿宋"/>
                <w:color w:val="000000" w:themeColor="text1"/>
                <w:szCs w:val="21"/>
                <w14:textFill>
                  <w14:solidFill>
                    <w14:schemeClr w14:val="tx1"/>
                  </w14:solidFill>
                </w14:textFill>
              </w:rPr>
              <w:t>条款</w:t>
            </w:r>
            <w:r>
              <w:rPr>
                <w:rFonts w:ascii="仿宋" w:hAnsi="仿宋" w:eastAsia="仿宋"/>
                <w:color w:val="000000" w:themeColor="text1"/>
                <w:szCs w:val="21"/>
                <w14:textFill>
                  <w14:solidFill>
                    <w14:schemeClr w14:val="tx1"/>
                  </w14:solidFill>
                </w14:textFill>
              </w:rPr>
              <w:t>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olor w:val="000000" w:themeColor="text1"/>
                <w:sz w:val="28"/>
                <w:szCs w:val="28"/>
                <w14:textFill>
                  <w14:solidFill>
                    <w14:schemeClr w14:val="tx1"/>
                  </w14:solidFill>
                </w14:textFill>
              </w:rPr>
            </w:pPr>
          </w:p>
        </w:tc>
      </w:tr>
    </w:tbl>
    <w:p>
      <w:pPr>
        <w:adjustRightInd w:val="0"/>
        <w:spacing w:line="600" w:lineRule="exact"/>
        <w:textAlignment w:val="baseline"/>
        <w:rPr>
          <w:rFonts w:hint="eastAsia"/>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注：若存在不符合项，须整改后重新验收方可</w:t>
      </w:r>
      <w:r>
        <w:rPr>
          <w:rFonts w:hint="eastAsia" w:ascii="方正黑体简体" w:hAnsi="方正黑体简体" w:eastAsia="方正黑体简体" w:cs="方正黑体简体"/>
          <w:sz w:val="28"/>
          <w:szCs w:val="28"/>
        </w:rPr>
        <w:t>通过。</w:t>
      </w: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538" w:y="1"/>
      <w:rPr>
        <w:rStyle w:val="13"/>
        <w:rFonts w:ascii="Times New Roman" w:hAnsi="Times New Roman"/>
        <w:sz w:val="28"/>
        <w:szCs w:val="28"/>
      </w:rPr>
    </w:pPr>
    <w:r>
      <w:rPr>
        <w:rStyle w:val="13"/>
        <w:rFonts w:ascii="Times New Roman" w:hAnsi="Times New Roman"/>
        <w:sz w:val="28"/>
        <w:szCs w:val="28"/>
      </w:rPr>
      <w:t xml:space="preserve">— </w:t>
    </w:r>
    <w:r>
      <w:rPr>
        <w:rFonts w:ascii="Times New Roman" w:hAnsi="Times New Roman"/>
        <w:sz w:val="28"/>
        <w:szCs w:val="28"/>
      </w:rPr>
      <w:fldChar w:fldCharType="begin"/>
    </w:r>
    <w:r>
      <w:rPr>
        <w:rStyle w:val="13"/>
        <w:rFonts w:ascii="Times New Roman" w:hAnsi="Times New Roman"/>
        <w:sz w:val="28"/>
        <w:szCs w:val="28"/>
      </w:rPr>
      <w:instrText xml:space="preserve">PAGE  </w:instrText>
    </w:r>
    <w:r>
      <w:rPr>
        <w:rFonts w:ascii="Times New Roman" w:hAnsi="Times New Roman"/>
        <w:sz w:val="28"/>
        <w:szCs w:val="28"/>
      </w:rPr>
      <w:fldChar w:fldCharType="separate"/>
    </w:r>
    <w:r>
      <w:rPr>
        <w:rStyle w:val="13"/>
        <w:rFonts w:ascii="Times New Roman" w:hAnsi="Times New Roman"/>
        <w:sz w:val="28"/>
        <w:szCs w:val="28"/>
      </w:rPr>
      <w:t>1</w:t>
    </w:r>
    <w:r>
      <w:rPr>
        <w:rFonts w:ascii="Times New Roman" w:hAnsi="Times New Roman"/>
        <w:sz w:val="28"/>
        <w:szCs w:val="28"/>
      </w:rPr>
      <w:fldChar w:fldCharType="end"/>
    </w:r>
    <w:r>
      <w:rPr>
        <w:rStyle w:val="13"/>
        <w:rFonts w:ascii="Times New Roman" w:hAnsi="Times New Roman"/>
        <w:sz w:val="28"/>
        <w:szCs w:val="28"/>
      </w:rPr>
      <w:t xml:space="preserve"> —</w:t>
    </w:r>
  </w:p>
  <w:p>
    <w:pPr>
      <w:pStyle w:val="6"/>
      <w:rPr>
        <w:rFonts w:ascii="仿宋" w:hAnsi="仿宋" w:eastAsia="仿宋"/>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030" w:h="468" w:hRule="exact" w:wrap="around" w:vAnchor="text" w:hAnchor="page" w:x="1474" w:y="-70"/>
      <w:rPr>
        <w:rStyle w:val="13"/>
        <w:rFonts w:ascii="Times New Roman" w:hAnsi="Times New Roman"/>
        <w:sz w:val="28"/>
        <w:szCs w:val="28"/>
      </w:rPr>
    </w:pPr>
    <w:r>
      <w:rPr>
        <w:rStyle w:val="13"/>
        <w:rFonts w:ascii="Times New Roman" w:hAnsi="Times New Roman"/>
        <w:sz w:val="28"/>
        <w:szCs w:val="28"/>
      </w:rPr>
      <w:t xml:space="preserve">— </w:t>
    </w:r>
    <w:r>
      <w:rPr>
        <w:rFonts w:ascii="Times New Roman" w:hAnsi="Times New Roman"/>
        <w:sz w:val="28"/>
        <w:szCs w:val="28"/>
      </w:rPr>
      <w:fldChar w:fldCharType="begin"/>
    </w:r>
    <w:r>
      <w:rPr>
        <w:rStyle w:val="13"/>
        <w:rFonts w:ascii="Times New Roman" w:hAnsi="Times New Roman"/>
        <w:sz w:val="28"/>
        <w:szCs w:val="28"/>
      </w:rPr>
      <w:instrText xml:space="preserve">PAGE  </w:instrText>
    </w:r>
    <w:r>
      <w:rPr>
        <w:rFonts w:ascii="Times New Roman" w:hAnsi="Times New Roman"/>
        <w:sz w:val="28"/>
        <w:szCs w:val="28"/>
      </w:rPr>
      <w:fldChar w:fldCharType="separate"/>
    </w:r>
    <w:r>
      <w:rPr>
        <w:rStyle w:val="13"/>
        <w:rFonts w:ascii="Times New Roman" w:hAnsi="Times New Roman"/>
        <w:sz w:val="28"/>
        <w:szCs w:val="28"/>
      </w:rPr>
      <w:t>2</w:t>
    </w:r>
    <w:r>
      <w:rPr>
        <w:rFonts w:ascii="Times New Roman" w:hAnsi="Times New Roman"/>
        <w:sz w:val="28"/>
        <w:szCs w:val="28"/>
      </w:rPr>
      <w:fldChar w:fldCharType="end"/>
    </w:r>
    <w:r>
      <w:rPr>
        <w:rStyle w:val="13"/>
        <w:rFonts w:ascii="Times New Roman" w:hAnsi="Times New Roman"/>
        <w:sz w:val="28"/>
        <w:szCs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23431"/>
    </w:sdtPr>
    <w:sdtContent>
      <w:p>
        <w:pPr>
          <w:pStyle w:val="6"/>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6DC02"/>
    <w:multiLevelType w:val="singleLevel"/>
    <w:tmpl w:val="16C6DC02"/>
    <w:lvl w:ilvl="0" w:tentative="0">
      <w:start w:val="2"/>
      <w:numFmt w:val="decimal"/>
      <w:lvlText w:val="%1."/>
      <w:lvlJc w:val="left"/>
      <w:pPr>
        <w:tabs>
          <w:tab w:val="left" w:pos="312"/>
        </w:tabs>
      </w:pPr>
    </w:lvl>
  </w:abstractNum>
  <w:abstractNum w:abstractNumId="1">
    <w:nsid w:val="2B1B7074"/>
    <w:multiLevelType w:val="multilevel"/>
    <w:tmpl w:val="2B1B7074"/>
    <w:lvl w:ilvl="0" w:tentative="0">
      <w:start w:val="1"/>
      <w:numFmt w:val="decimal"/>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E76593"/>
    <w:multiLevelType w:val="singleLevel"/>
    <w:tmpl w:val="57E76593"/>
    <w:lvl w:ilvl="0" w:tentative="0">
      <w:start w:val="1"/>
      <w:numFmt w:val="chineseCounting"/>
      <w:suff w:val="nothing"/>
      <w:lvlText w:val="（%1）"/>
      <w:lvlJc w:val="left"/>
      <w:rPr>
        <w:rFonts w:hint="eastAsia"/>
      </w:rPr>
    </w:lvl>
  </w:abstractNum>
  <w:abstractNum w:abstractNumId="3">
    <w:nsid w:val="6BAA3725"/>
    <w:multiLevelType w:val="multilevel"/>
    <w:tmpl w:val="6BAA3725"/>
    <w:lvl w:ilvl="0" w:tentative="0">
      <w:start w:val="1"/>
      <w:numFmt w:val="japaneseCounting"/>
      <w:lvlText w:val="第%1章"/>
      <w:lvlJc w:val="left"/>
      <w:pPr>
        <w:ind w:left="1185" w:hanging="11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6C"/>
    <w:rsid w:val="0000279C"/>
    <w:rsid w:val="0000321D"/>
    <w:rsid w:val="00004615"/>
    <w:rsid w:val="00012538"/>
    <w:rsid w:val="0001295E"/>
    <w:rsid w:val="000135C7"/>
    <w:rsid w:val="000172E3"/>
    <w:rsid w:val="00023F6D"/>
    <w:rsid w:val="000241D9"/>
    <w:rsid w:val="00024841"/>
    <w:rsid w:val="00025A67"/>
    <w:rsid w:val="00025D89"/>
    <w:rsid w:val="00026C6B"/>
    <w:rsid w:val="0003122C"/>
    <w:rsid w:val="00032B77"/>
    <w:rsid w:val="00033094"/>
    <w:rsid w:val="00033808"/>
    <w:rsid w:val="000343E7"/>
    <w:rsid w:val="00037577"/>
    <w:rsid w:val="00041A92"/>
    <w:rsid w:val="00041B81"/>
    <w:rsid w:val="00041DE6"/>
    <w:rsid w:val="00042F06"/>
    <w:rsid w:val="00043DC5"/>
    <w:rsid w:val="00046028"/>
    <w:rsid w:val="00046225"/>
    <w:rsid w:val="00051E4B"/>
    <w:rsid w:val="00053B6A"/>
    <w:rsid w:val="00054013"/>
    <w:rsid w:val="00055AE0"/>
    <w:rsid w:val="00060421"/>
    <w:rsid w:val="00061AB4"/>
    <w:rsid w:val="00061CDF"/>
    <w:rsid w:val="00061E7A"/>
    <w:rsid w:val="00062958"/>
    <w:rsid w:val="00062BD0"/>
    <w:rsid w:val="00064285"/>
    <w:rsid w:val="00065576"/>
    <w:rsid w:val="000661FD"/>
    <w:rsid w:val="0006763B"/>
    <w:rsid w:val="00070E31"/>
    <w:rsid w:val="00073D89"/>
    <w:rsid w:val="000760A9"/>
    <w:rsid w:val="00076D12"/>
    <w:rsid w:val="00077B81"/>
    <w:rsid w:val="00080943"/>
    <w:rsid w:val="000831FC"/>
    <w:rsid w:val="00083555"/>
    <w:rsid w:val="000853E5"/>
    <w:rsid w:val="00086F0B"/>
    <w:rsid w:val="00087AC9"/>
    <w:rsid w:val="0009092A"/>
    <w:rsid w:val="000915B4"/>
    <w:rsid w:val="00091CA9"/>
    <w:rsid w:val="0009288E"/>
    <w:rsid w:val="00092E39"/>
    <w:rsid w:val="000938E0"/>
    <w:rsid w:val="00093B25"/>
    <w:rsid w:val="00093DB4"/>
    <w:rsid w:val="000943E5"/>
    <w:rsid w:val="00094B8C"/>
    <w:rsid w:val="000952FF"/>
    <w:rsid w:val="000A063D"/>
    <w:rsid w:val="000A70AB"/>
    <w:rsid w:val="000B059C"/>
    <w:rsid w:val="000B34CF"/>
    <w:rsid w:val="000B43E9"/>
    <w:rsid w:val="000B515C"/>
    <w:rsid w:val="000B6DEB"/>
    <w:rsid w:val="000B7177"/>
    <w:rsid w:val="000C054F"/>
    <w:rsid w:val="000C1A26"/>
    <w:rsid w:val="000C1C12"/>
    <w:rsid w:val="000C46D1"/>
    <w:rsid w:val="000C4B43"/>
    <w:rsid w:val="000C610C"/>
    <w:rsid w:val="000C6A05"/>
    <w:rsid w:val="000D123E"/>
    <w:rsid w:val="000D1C67"/>
    <w:rsid w:val="000D2C09"/>
    <w:rsid w:val="000D6C20"/>
    <w:rsid w:val="000D70AB"/>
    <w:rsid w:val="000E079E"/>
    <w:rsid w:val="000E1B1C"/>
    <w:rsid w:val="000E2485"/>
    <w:rsid w:val="000E7C43"/>
    <w:rsid w:val="000F09C2"/>
    <w:rsid w:val="000F1170"/>
    <w:rsid w:val="000F1266"/>
    <w:rsid w:val="000F1E9D"/>
    <w:rsid w:val="000F2D50"/>
    <w:rsid w:val="000F34ED"/>
    <w:rsid w:val="000F59E2"/>
    <w:rsid w:val="000F7096"/>
    <w:rsid w:val="001006DD"/>
    <w:rsid w:val="00100B74"/>
    <w:rsid w:val="00101ED3"/>
    <w:rsid w:val="00106261"/>
    <w:rsid w:val="00106B5C"/>
    <w:rsid w:val="00107622"/>
    <w:rsid w:val="00110778"/>
    <w:rsid w:val="00110933"/>
    <w:rsid w:val="00113BC7"/>
    <w:rsid w:val="00113CD7"/>
    <w:rsid w:val="0011588B"/>
    <w:rsid w:val="00115B90"/>
    <w:rsid w:val="00117BAA"/>
    <w:rsid w:val="00121EE3"/>
    <w:rsid w:val="001252D0"/>
    <w:rsid w:val="00126340"/>
    <w:rsid w:val="0013097D"/>
    <w:rsid w:val="00130AFF"/>
    <w:rsid w:val="00137097"/>
    <w:rsid w:val="00137DAD"/>
    <w:rsid w:val="0014004B"/>
    <w:rsid w:val="00142AD7"/>
    <w:rsid w:val="00144947"/>
    <w:rsid w:val="00144F6E"/>
    <w:rsid w:val="00147181"/>
    <w:rsid w:val="0015011C"/>
    <w:rsid w:val="001505B7"/>
    <w:rsid w:val="001509FD"/>
    <w:rsid w:val="001606FA"/>
    <w:rsid w:val="001617FB"/>
    <w:rsid w:val="0016491E"/>
    <w:rsid w:val="001652AF"/>
    <w:rsid w:val="001667AE"/>
    <w:rsid w:val="00167656"/>
    <w:rsid w:val="00167870"/>
    <w:rsid w:val="001721C1"/>
    <w:rsid w:val="00175BFF"/>
    <w:rsid w:val="00176D6B"/>
    <w:rsid w:val="0017787C"/>
    <w:rsid w:val="001801DE"/>
    <w:rsid w:val="00181F45"/>
    <w:rsid w:val="001852FC"/>
    <w:rsid w:val="00185734"/>
    <w:rsid w:val="001863F5"/>
    <w:rsid w:val="00187709"/>
    <w:rsid w:val="001925F0"/>
    <w:rsid w:val="00192C53"/>
    <w:rsid w:val="00193750"/>
    <w:rsid w:val="00195756"/>
    <w:rsid w:val="0019597F"/>
    <w:rsid w:val="001964A9"/>
    <w:rsid w:val="001978EE"/>
    <w:rsid w:val="00197AA5"/>
    <w:rsid w:val="001A0622"/>
    <w:rsid w:val="001A30B0"/>
    <w:rsid w:val="001A563C"/>
    <w:rsid w:val="001A5F1F"/>
    <w:rsid w:val="001A6277"/>
    <w:rsid w:val="001A64FE"/>
    <w:rsid w:val="001B2D60"/>
    <w:rsid w:val="001B4776"/>
    <w:rsid w:val="001B56DC"/>
    <w:rsid w:val="001B700F"/>
    <w:rsid w:val="001C0D11"/>
    <w:rsid w:val="001C1DE4"/>
    <w:rsid w:val="001C2708"/>
    <w:rsid w:val="001C6333"/>
    <w:rsid w:val="001C65CA"/>
    <w:rsid w:val="001D315B"/>
    <w:rsid w:val="001D31B8"/>
    <w:rsid w:val="001D3C93"/>
    <w:rsid w:val="001D5C0B"/>
    <w:rsid w:val="001E022F"/>
    <w:rsid w:val="001E1341"/>
    <w:rsid w:val="001E3346"/>
    <w:rsid w:val="001E3A95"/>
    <w:rsid w:val="001E556D"/>
    <w:rsid w:val="001E68CE"/>
    <w:rsid w:val="001E7363"/>
    <w:rsid w:val="001F0884"/>
    <w:rsid w:val="001F5673"/>
    <w:rsid w:val="00200723"/>
    <w:rsid w:val="00207428"/>
    <w:rsid w:val="00207849"/>
    <w:rsid w:val="00210317"/>
    <w:rsid w:val="00210EA6"/>
    <w:rsid w:val="00211F6A"/>
    <w:rsid w:val="00214FFD"/>
    <w:rsid w:val="002152EC"/>
    <w:rsid w:val="00216445"/>
    <w:rsid w:val="00220E8F"/>
    <w:rsid w:val="00220FC4"/>
    <w:rsid w:val="002219C4"/>
    <w:rsid w:val="00224C95"/>
    <w:rsid w:val="002262E9"/>
    <w:rsid w:val="002264B0"/>
    <w:rsid w:val="00226CBC"/>
    <w:rsid w:val="00230215"/>
    <w:rsid w:val="00232DC5"/>
    <w:rsid w:val="002338EC"/>
    <w:rsid w:val="00233C8D"/>
    <w:rsid w:val="0023512F"/>
    <w:rsid w:val="00235FB9"/>
    <w:rsid w:val="0024014D"/>
    <w:rsid w:val="00240D47"/>
    <w:rsid w:val="00241518"/>
    <w:rsid w:val="00246A04"/>
    <w:rsid w:val="00246DF8"/>
    <w:rsid w:val="00247ABC"/>
    <w:rsid w:val="00251D9B"/>
    <w:rsid w:val="002521FD"/>
    <w:rsid w:val="00253F6C"/>
    <w:rsid w:val="00255BC5"/>
    <w:rsid w:val="0026300B"/>
    <w:rsid w:val="00265AA2"/>
    <w:rsid w:val="00266FEE"/>
    <w:rsid w:val="00272046"/>
    <w:rsid w:val="00275200"/>
    <w:rsid w:val="00276455"/>
    <w:rsid w:val="00280064"/>
    <w:rsid w:val="00280595"/>
    <w:rsid w:val="00280C37"/>
    <w:rsid w:val="002812AB"/>
    <w:rsid w:val="002814F4"/>
    <w:rsid w:val="00284968"/>
    <w:rsid w:val="00285592"/>
    <w:rsid w:val="00287F97"/>
    <w:rsid w:val="002933D4"/>
    <w:rsid w:val="00294B9E"/>
    <w:rsid w:val="00295413"/>
    <w:rsid w:val="00295A63"/>
    <w:rsid w:val="002962FB"/>
    <w:rsid w:val="002A14B9"/>
    <w:rsid w:val="002A186F"/>
    <w:rsid w:val="002A2070"/>
    <w:rsid w:val="002A21B3"/>
    <w:rsid w:val="002A2411"/>
    <w:rsid w:val="002A33D4"/>
    <w:rsid w:val="002A5672"/>
    <w:rsid w:val="002A5F76"/>
    <w:rsid w:val="002A698B"/>
    <w:rsid w:val="002A7432"/>
    <w:rsid w:val="002A747E"/>
    <w:rsid w:val="002B2F9E"/>
    <w:rsid w:val="002B4000"/>
    <w:rsid w:val="002B4B8B"/>
    <w:rsid w:val="002B4F24"/>
    <w:rsid w:val="002B617C"/>
    <w:rsid w:val="002B6612"/>
    <w:rsid w:val="002B7065"/>
    <w:rsid w:val="002B7FB9"/>
    <w:rsid w:val="002C0BEA"/>
    <w:rsid w:val="002C1290"/>
    <w:rsid w:val="002C18FC"/>
    <w:rsid w:val="002C2644"/>
    <w:rsid w:val="002C3430"/>
    <w:rsid w:val="002C35DE"/>
    <w:rsid w:val="002C43D2"/>
    <w:rsid w:val="002C5682"/>
    <w:rsid w:val="002C5B29"/>
    <w:rsid w:val="002C6574"/>
    <w:rsid w:val="002C74B5"/>
    <w:rsid w:val="002D2BAE"/>
    <w:rsid w:val="002D2C62"/>
    <w:rsid w:val="002D3711"/>
    <w:rsid w:val="002D3B89"/>
    <w:rsid w:val="002E11D0"/>
    <w:rsid w:val="002E44AA"/>
    <w:rsid w:val="002E4714"/>
    <w:rsid w:val="002F020F"/>
    <w:rsid w:val="002F0D53"/>
    <w:rsid w:val="002F1BF6"/>
    <w:rsid w:val="002F3EA3"/>
    <w:rsid w:val="002F40AB"/>
    <w:rsid w:val="00300B91"/>
    <w:rsid w:val="00301138"/>
    <w:rsid w:val="003037F6"/>
    <w:rsid w:val="00306B54"/>
    <w:rsid w:val="00313EF6"/>
    <w:rsid w:val="0031627A"/>
    <w:rsid w:val="0031661A"/>
    <w:rsid w:val="00317495"/>
    <w:rsid w:val="003219B3"/>
    <w:rsid w:val="003229F5"/>
    <w:rsid w:val="00324988"/>
    <w:rsid w:val="00326544"/>
    <w:rsid w:val="00327BD4"/>
    <w:rsid w:val="00327F23"/>
    <w:rsid w:val="003321CB"/>
    <w:rsid w:val="00335381"/>
    <w:rsid w:val="0033582B"/>
    <w:rsid w:val="00336BF5"/>
    <w:rsid w:val="003408DB"/>
    <w:rsid w:val="0034090F"/>
    <w:rsid w:val="00341E8C"/>
    <w:rsid w:val="00343DF0"/>
    <w:rsid w:val="003442BD"/>
    <w:rsid w:val="00344E65"/>
    <w:rsid w:val="00352CEB"/>
    <w:rsid w:val="00354A57"/>
    <w:rsid w:val="00357ECE"/>
    <w:rsid w:val="0036280A"/>
    <w:rsid w:val="00363E42"/>
    <w:rsid w:val="0036550E"/>
    <w:rsid w:val="0036601C"/>
    <w:rsid w:val="00366813"/>
    <w:rsid w:val="00371C60"/>
    <w:rsid w:val="00371F72"/>
    <w:rsid w:val="00372D93"/>
    <w:rsid w:val="003730AF"/>
    <w:rsid w:val="00373955"/>
    <w:rsid w:val="003751B9"/>
    <w:rsid w:val="003767FF"/>
    <w:rsid w:val="00376B4D"/>
    <w:rsid w:val="003806B5"/>
    <w:rsid w:val="00387037"/>
    <w:rsid w:val="00390F1F"/>
    <w:rsid w:val="003915E4"/>
    <w:rsid w:val="00391876"/>
    <w:rsid w:val="0039381A"/>
    <w:rsid w:val="003950FC"/>
    <w:rsid w:val="00395977"/>
    <w:rsid w:val="003A022F"/>
    <w:rsid w:val="003A0DE8"/>
    <w:rsid w:val="003A1BE1"/>
    <w:rsid w:val="003A1F32"/>
    <w:rsid w:val="003A2949"/>
    <w:rsid w:val="003A49B1"/>
    <w:rsid w:val="003A616E"/>
    <w:rsid w:val="003A7F66"/>
    <w:rsid w:val="003B13BD"/>
    <w:rsid w:val="003B60AC"/>
    <w:rsid w:val="003B696B"/>
    <w:rsid w:val="003B6FC4"/>
    <w:rsid w:val="003B75AF"/>
    <w:rsid w:val="003B767D"/>
    <w:rsid w:val="003C04AD"/>
    <w:rsid w:val="003C0C6B"/>
    <w:rsid w:val="003C2306"/>
    <w:rsid w:val="003C3CA7"/>
    <w:rsid w:val="003C451C"/>
    <w:rsid w:val="003C46E6"/>
    <w:rsid w:val="003C4ACF"/>
    <w:rsid w:val="003C7741"/>
    <w:rsid w:val="003D2647"/>
    <w:rsid w:val="003D3B05"/>
    <w:rsid w:val="003D7FD4"/>
    <w:rsid w:val="003E05AF"/>
    <w:rsid w:val="003E1334"/>
    <w:rsid w:val="003E24A7"/>
    <w:rsid w:val="003E334F"/>
    <w:rsid w:val="003E47F7"/>
    <w:rsid w:val="003E7BDE"/>
    <w:rsid w:val="003F10A1"/>
    <w:rsid w:val="003F193C"/>
    <w:rsid w:val="003F281F"/>
    <w:rsid w:val="003F2963"/>
    <w:rsid w:val="003F4F0D"/>
    <w:rsid w:val="004004FD"/>
    <w:rsid w:val="0040129F"/>
    <w:rsid w:val="00401DEB"/>
    <w:rsid w:val="00401E8C"/>
    <w:rsid w:val="00402558"/>
    <w:rsid w:val="0040481E"/>
    <w:rsid w:val="004060A4"/>
    <w:rsid w:val="00407C5A"/>
    <w:rsid w:val="00411AF8"/>
    <w:rsid w:val="00415D47"/>
    <w:rsid w:val="00417533"/>
    <w:rsid w:val="00420091"/>
    <w:rsid w:val="00424E87"/>
    <w:rsid w:val="00424FAC"/>
    <w:rsid w:val="00430E62"/>
    <w:rsid w:val="00435A94"/>
    <w:rsid w:val="00442BB1"/>
    <w:rsid w:val="00444EF9"/>
    <w:rsid w:val="00446F1D"/>
    <w:rsid w:val="0045247B"/>
    <w:rsid w:val="00453A32"/>
    <w:rsid w:val="00453C4A"/>
    <w:rsid w:val="004559FA"/>
    <w:rsid w:val="00455CA5"/>
    <w:rsid w:val="00456E46"/>
    <w:rsid w:val="00460352"/>
    <w:rsid w:val="004637C0"/>
    <w:rsid w:val="00467084"/>
    <w:rsid w:val="004714D0"/>
    <w:rsid w:val="0047303A"/>
    <w:rsid w:val="00473497"/>
    <w:rsid w:val="00475ACD"/>
    <w:rsid w:val="0047618A"/>
    <w:rsid w:val="00476251"/>
    <w:rsid w:val="00480C63"/>
    <w:rsid w:val="00480CA0"/>
    <w:rsid w:val="0048123C"/>
    <w:rsid w:val="00481322"/>
    <w:rsid w:val="004829CD"/>
    <w:rsid w:val="00484D0C"/>
    <w:rsid w:val="00485A45"/>
    <w:rsid w:val="004923BB"/>
    <w:rsid w:val="00492F11"/>
    <w:rsid w:val="00497549"/>
    <w:rsid w:val="004A2A3E"/>
    <w:rsid w:val="004A41E8"/>
    <w:rsid w:val="004A44C2"/>
    <w:rsid w:val="004A4892"/>
    <w:rsid w:val="004A6CEC"/>
    <w:rsid w:val="004A6E78"/>
    <w:rsid w:val="004B0C98"/>
    <w:rsid w:val="004B153F"/>
    <w:rsid w:val="004B3808"/>
    <w:rsid w:val="004B4B87"/>
    <w:rsid w:val="004B720B"/>
    <w:rsid w:val="004C07B4"/>
    <w:rsid w:val="004C14ED"/>
    <w:rsid w:val="004C377A"/>
    <w:rsid w:val="004C47C0"/>
    <w:rsid w:val="004C721E"/>
    <w:rsid w:val="004C7C6A"/>
    <w:rsid w:val="004D0D8B"/>
    <w:rsid w:val="004D2343"/>
    <w:rsid w:val="004D6879"/>
    <w:rsid w:val="004D7C53"/>
    <w:rsid w:val="004E307F"/>
    <w:rsid w:val="004E4322"/>
    <w:rsid w:val="004E45A5"/>
    <w:rsid w:val="004E58D4"/>
    <w:rsid w:val="004E62DE"/>
    <w:rsid w:val="004E7B98"/>
    <w:rsid w:val="004E7D12"/>
    <w:rsid w:val="004F05E6"/>
    <w:rsid w:val="004F0A01"/>
    <w:rsid w:val="004F1809"/>
    <w:rsid w:val="004F2416"/>
    <w:rsid w:val="004F3498"/>
    <w:rsid w:val="004F3533"/>
    <w:rsid w:val="00503EA7"/>
    <w:rsid w:val="005048A0"/>
    <w:rsid w:val="005064CB"/>
    <w:rsid w:val="00506CD4"/>
    <w:rsid w:val="005172A3"/>
    <w:rsid w:val="0051765B"/>
    <w:rsid w:val="00521BA9"/>
    <w:rsid w:val="005222E5"/>
    <w:rsid w:val="00522B74"/>
    <w:rsid w:val="005249EE"/>
    <w:rsid w:val="00525CB5"/>
    <w:rsid w:val="00526205"/>
    <w:rsid w:val="00527ED4"/>
    <w:rsid w:val="00533F7B"/>
    <w:rsid w:val="005344F8"/>
    <w:rsid w:val="00535008"/>
    <w:rsid w:val="005369B3"/>
    <w:rsid w:val="00537195"/>
    <w:rsid w:val="00540D4D"/>
    <w:rsid w:val="00541D91"/>
    <w:rsid w:val="005434AF"/>
    <w:rsid w:val="00543953"/>
    <w:rsid w:val="00544D77"/>
    <w:rsid w:val="005509C8"/>
    <w:rsid w:val="005513A8"/>
    <w:rsid w:val="00552C76"/>
    <w:rsid w:val="005531BF"/>
    <w:rsid w:val="00553E5A"/>
    <w:rsid w:val="005557B6"/>
    <w:rsid w:val="00561C45"/>
    <w:rsid w:val="00561FF1"/>
    <w:rsid w:val="00563816"/>
    <w:rsid w:val="00563BC4"/>
    <w:rsid w:val="005657E0"/>
    <w:rsid w:val="00566337"/>
    <w:rsid w:val="00567C90"/>
    <w:rsid w:val="00567F37"/>
    <w:rsid w:val="005748C3"/>
    <w:rsid w:val="00580C7A"/>
    <w:rsid w:val="0058392E"/>
    <w:rsid w:val="00584712"/>
    <w:rsid w:val="005863EB"/>
    <w:rsid w:val="0058685D"/>
    <w:rsid w:val="00587354"/>
    <w:rsid w:val="005907AB"/>
    <w:rsid w:val="0059196D"/>
    <w:rsid w:val="00591A45"/>
    <w:rsid w:val="00591D03"/>
    <w:rsid w:val="00593505"/>
    <w:rsid w:val="005A194E"/>
    <w:rsid w:val="005A2822"/>
    <w:rsid w:val="005A373B"/>
    <w:rsid w:val="005A3A44"/>
    <w:rsid w:val="005A4E88"/>
    <w:rsid w:val="005A5B0F"/>
    <w:rsid w:val="005A6AD1"/>
    <w:rsid w:val="005B0BAF"/>
    <w:rsid w:val="005B10B7"/>
    <w:rsid w:val="005B1406"/>
    <w:rsid w:val="005B2C33"/>
    <w:rsid w:val="005B311E"/>
    <w:rsid w:val="005B392B"/>
    <w:rsid w:val="005B4D9B"/>
    <w:rsid w:val="005C1F54"/>
    <w:rsid w:val="005C246B"/>
    <w:rsid w:val="005C7222"/>
    <w:rsid w:val="005D17F5"/>
    <w:rsid w:val="005D2D7A"/>
    <w:rsid w:val="005D30F3"/>
    <w:rsid w:val="005D7BA3"/>
    <w:rsid w:val="005E079A"/>
    <w:rsid w:val="005E1F0B"/>
    <w:rsid w:val="005E3C7A"/>
    <w:rsid w:val="005E4DDD"/>
    <w:rsid w:val="005F0C6A"/>
    <w:rsid w:val="005F2634"/>
    <w:rsid w:val="005F3178"/>
    <w:rsid w:val="005F3755"/>
    <w:rsid w:val="005F55C0"/>
    <w:rsid w:val="005F580A"/>
    <w:rsid w:val="005F69B8"/>
    <w:rsid w:val="006021BA"/>
    <w:rsid w:val="00603500"/>
    <w:rsid w:val="00604F4C"/>
    <w:rsid w:val="0061071D"/>
    <w:rsid w:val="00615CE1"/>
    <w:rsid w:val="00616C39"/>
    <w:rsid w:val="0061747D"/>
    <w:rsid w:val="00617F2D"/>
    <w:rsid w:val="00621FA0"/>
    <w:rsid w:val="006231E8"/>
    <w:rsid w:val="00624B85"/>
    <w:rsid w:val="0062545A"/>
    <w:rsid w:val="00627284"/>
    <w:rsid w:val="006342C3"/>
    <w:rsid w:val="00634B6D"/>
    <w:rsid w:val="006359D9"/>
    <w:rsid w:val="00643519"/>
    <w:rsid w:val="00643EC9"/>
    <w:rsid w:val="00644CB3"/>
    <w:rsid w:val="0064586C"/>
    <w:rsid w:val="00646C6D"/>
    <w:rsid w:val="00650DD5"/>
    <w:rsid w:val="0065471E"/>
    <w:rsid w:val="00654AEE"/>
    <w:rsid w:val="006550AE"/>
    <w:rsid w:val="00655ED6"/>
    <w:rsid w:val="006608FB"/>
    <w:rsid w:val="00660906"/>
    <w:rsid w:val="006611C4"/>
    <w:rsid w:val="006635E2"/>
    <w:rsid w:val="00664CF9"/>
    <w:rsid w:val="0066562B"/>
    <w:rsid w:val="00665FCE"/>
    <w:rsid w:val="00667B6C"/>
    <w:rsid w:val="006700A6"/>
    <w:rsid w:val="0067457B"/>
    <w:rsid w:val="006749BF"/>
    <w:rsid w:val="00680BE8"/>
    <w:rsid w:val="00681508"/>
    <w:rsid w:val="00683A10"/>
    <w:rsid w:val="00685668"/>
    <w:rsid w:val="00686427"/>
    <w:rsid w:val="00695505"/>
    <w:rsid w:val="00696927"/>
    <w:rsid w:val="0069696C"/>
    <w:rsid w:val="006A056F"/>
    <w:rsid w:val="006A2ADB"/>
    <w:rsid w:val="006B4ACA"/>
    <w:rsid w:val="006B6CB0"/>
    <w:rsid w:val="006B6FB5"/>
    <w:rsid w:val="006C06EF"/>
    <w:rsid w:val="006C0DDE"/>
    <w:rsid w:val="006C1A7C"/>
    <w:rsid w:val="006C2D19"/>
    <w:rsid w:val="006C5463"/>
    <w:rsid w:val="006C5595"/>
    <w:rsid w:val="006C6B0B"/>
    <w:rsid w:val="006D1823"/>
    <w:rsid w:val="006D4096"/>
    <w:rsid w:val="006E1BFA"/>
    <w:rsid w:val="006E4F69"/>
    <w:rsid w:val="006E52E9"/>
    <w:rsid w:val="006E74D3"/>
    <w:rsid w:val="006E792A"/>
    <w:rsid w:val="006F0454"/>
    <w:rsid w:val="006F2549"/>
    <w:rsid w:val="006F2EC7"/>
    <w:rsid w:val="006F2F02"/>
    <w:rsid w:val="006F32BB"/>
    <w:rsid w:val="006F4E46"/>
    <w:rsid w:val="006F6395"/>
    <w:rsid w:val="006F6ADD"/>
    <w:rsid w:val="006F7857"/>
    <w:rsid w:val="007004CD"/>
    <w:rsid w:val="00700A93"/>
    <w:rsid w:val="00701BB6"/>
    <w:rsid w:val="00704E57"/>
    <w:rsid w:val="00705E12"/>
    <w:rsid w:val="0071159E"/>
    <w:rsid w:val="00711EA6"/>
    <w:rsid w:val="00711FA5"/>
    <w:rsid w:val="00714E46"/>
    <w:rsid w:val="00715245"/>
    <w:rsid w:val="007166E5"/>
    <w:rsid w:val="0071689E"/>
    <w:rsid w:val="007171E0"/>
    <w:rsid w:val="00717E4A"/>
    <w:rsid w:val="00732E62"/>
    <w:rsid w:val="007346B6"/>
    <w:rsid w:val="0073532B"/>
    <w:rsid w:val="007403FD"/>
    <w:rsid w:val="00742295"/>
    <w:rsid w:val="00744A28"/>
    <w:rsid w:val="00746151"/>
    <w:rsid w:val="00746269"/>
    <w:rsid w:val="00747022"/>
    <w:rsid w:val="00747E57"/>
    <w:rsid w:val="00752467"/>
    <w:rsid w:val="00752F80"/>
    <w:rsid w:val="007575B8"/>
    <w:rsid w:val="007614D4"/>
    <w:rsid w:val="007639EE"/>
    <w:rsid w:val="00764AAE"/>
    <w:rsid w:val="00765FE2"/>
    <w:rsid w:val="0076697A"/>
    <w:rsid w:val="00771EAF"/>
    <w:rsid w:val="0077300F"/>
    <w:rsid w:val="00777175"/>
    <w:rsid w:val="007831EA"/>
    <w:rsid w:val="0078367C"/>
    <w:rsid w:val="00783BCE"/>
    <w:rsid w:val="0078405B"/>
    <w:rsid w:val="0078452D"/>
    <w:rsid w:val="00786948"/>
    <w:rsid w:val="007873F4"/>
    <w:rsid w:val="007878DD"/>
    <w:rsid w:val="00796EF7"/>
    <w:rsid w:val="0079701B"/>
    <w:rsid w:val="00797EB0"/>
    <w:rsid w:val="007A0797"/>
    <w:rsid w:val="007A29AF"/>
    <w:rsid w:val="007A6151"/>
    <w:rsid w:val="007A70FC"/>
    <w:rsid w:val="007A7F1E"/>
    <w:rsid w:val="007B06B6"/>
    <w:rsid w:val="007B0811"/>
    <w:rsid w:val="007B0B7D"/>
    <w:rsid w:val="007B2B36"/>
    <w:rsid w:val="007B4E22"/>
    <w:rsid w:val="007B654B"/>
    <w:rsid w:val="007C1D9D"/>
    <w:rsid w:val="007C42C5"/>
    <w:rsid w:val="007C79B9"/>
    <w:rsid w:val="007D01F4"/>
    <w:rsid w:val="007D241E"/>
    <w:rsid w:val="007D2A81"/>
    <w:rsid w:val="007D5B2E"/>
    <w:rsid w:val="007D649E"/>
    <w:rsid w:val="007D6670"/>
    <w:rsid w:val="007D68AF"/>
    <w:rsid w:val="007E0686"/>
    <w:rsid w:val="007E0D4E"/>
    <w:rsid w:val="007E0F51"/>
    <w:rsid w:val="007E1530"/>
    <w:rsid w:val="007E249A"/>
    <w:rsid w:val="007E38FD"/>
    <w:rsid w:val="007E46F7"/>
    <w:rsid w:val="007E48B8"/>
    <w:rsid w:val="007E4BD3"/>
    <w:rsid w:val="007F0D5D"/>
    <w:rsid w:val="007F2BB2"/>
    <w:rsid w:val="007F407F"/>
    <w:rsid w:val="007F5FC3"/>
    <w:rsid w:val="007F66C6"/>
    <w:rsid w:val="007F68C6"/>
    <w:rsid w:val="0080075F"/>
    <w:rsid w:val="00802290"/>
    <w:rsid w:val="00803177"/>
    <w:rsid w:val="008057EC"/>
    <w:rsid w:val="008101E4"/>
    <w:rsid w:val="00810796"/>
    <w:rsid w:val="0081295F"/>
    <w:rsid w:val="00812C6E"/>
    <w:rsid w:val="008130E8"/>
    <w:rsid w:val="0081506F"/>
    <w:rsid w:val="00820CC5"/>
    <w:rsid w:val="00820DBC"/>
    <w:rsid w:val="00822A62"/>
    <w:rsid w:val="0082318B"/>
    <w:rsid w:val="00823B9A"/>
    <w:rsid w:val="00827634"/>
    <w:rsid w:val="00830990"/>
    <w:rsid w:val="0083404E"/>
    <w:rsid w:val="00834244"/>
    <w:rsid w:val="00834D04"/>
    <w:rsid w:val="00835FF1"/>
    <w:rsid w:val="00837ABB"/>
    <w:rsid w:val="00837C8D"/>
    <w:rsid w:val="00842D73"/>
    <w:rsid w:val="00844395"/>
    <w:rsid w:val="00845816"/>
    <w:rsid w:val="008504DC"/>
    <w:rsid w:val="00850DBC"/>
    <w:rsid w:val="00853187"/>
    <w:rsid w:val="0085494E"/>
    <w:rsid w:val="008560B8"/>
    <w:rsid w:val="008579EB"/>
    <w:rsid w:val="00862377"/>
    <w:rsid w:val="00864A0F"/>
    <w:rsid w:val="008652BD"/>
    <w:rsid w:val="008662B9"/>
    <w:rsid w:val="00870B75"/>
    <w:rsid w:val="00870DAA"/>
    <w:rsid w:val="008727D2"/>
    <w:rsid w:val="00873B9B"/>
    <w:rsid w:val="00875990"/>
    <w:rsid w:val="00880B17"/>
    <w:rsid w:val="00882236"/>
    <w:rsid w:val="008826DA"/>
    <w:rsid w:val="00882972"/>
    <w:rsid w:val="00882BB4"/>
    <w:rsid w:val="00883717"/>
    <w:rsid w:val="00883F2D"/>
    <w:rsid w:val="00885E17"/>
    <w:rsid w:val="00886D98"/>
    <w:rsid w:val="0089497D"/>
    <w:rsid w:val="008954A2"/>
    <w:rsid w:val="0089626F"/>
    <w:rsid w:val="0089743B"/>
    <w:rsid w:val="008A1B17"/>
    <w:rsid w:val="008A381B"/>
    <w:rsid w:val="008A3E1F"/>
    <w:rsid w:val="008A4792"/>
    <w:rsid w:val="008A4A1E"/>
    <w:rsid w:val="008B1679"/>
    <w:rsid w:val="008B2801"/>
    <w:rsid w:val="008B3BA4"/>
    <w:rsid w:val="008B3DDF"/>
    <w:rsid w:val="008C3B9F"/>
    <w:rsid w:val="008C64B4"/>
    <w:rsid w:val="008D319C"/>
    <w:rsid w:val="008D5C0B"/>
    <w:rsid w:val="008D6425"/>
    <w:rsid w:val="008D7029"/>
    <w:rsid w:val="008E1D82"/>
    <w:rsid w:val="008E1E5D"/>
    <w:rsid w:val="008E2D2E"/>
    <w:rsid w:val="008E312F"/>
    <w:rsid w:val="008E5056"/>
    <w:rsid w:val="008E536B"/>
    <w:rsid w:val="008E7A83"/>
    <w:rsid w:val="008E7E98"/>
    <w:rsid w:val="008F0810"/>
    <w:rsid w:val="008F225E"/>
    <w:rsid w:val="008F4E5C"/>
    <w:rsid w:val="008F7222"/>
    <w:rsid w:val="008F74E9"/>
    <w:rsid w:val="008F7F4E"/>
    <w:rsid w:val="00901B8B"/>
    <w:rsid w:val="00902E41"/>
    <w:rsid w:val="009032D9"/>
    <w:rsid w:val="009034FE"/>
    <w:rsid w:val="009074C6"/>
    <w:rsid w:val="00911D1C"/>
    <w:rsid w:val="0091603E"/>
    <w:rsid w:val="00916671"/>
    <w:rsid w:val="00920D21"/>
    <w:rsid w:val="00921EB3"/>
    <w:rsid w:val="009238A2"/>
    <w:rsid w:val="00925162"/>
    <w:rsid w:val="00933E7D"/>
    <w:rsid w:val="009345CB"/>
    <w:rsid w:val="009370CE"/>
    <w:rsid w:val="00937D79"/>
    <w:rsid w:val="009401F2"/>
    <w:rsid w:val="00943490"/>
    <w:rsid w:val="00943F03"/>
    <w:rsid w:val="00944351"/>
    <w:rsid w:val="00944B2C"/>
    <w:rsid w:val="00951883"/>
    <w:rsid w:val="00953868"/>
    <w:rsid w:val="0095443B"/>
    <w:rsid w:val="0096062C"/>
    <w:rsid w:val="009611CD"/>
    <w:rsid w:val="00962C65"/>
    <w:rsid w:val="00963108"/>
    <w:rsid w:val="00964A1E"/>
    <w:rsid w:val="00964AA5"/>
    <w:rsid w:val="00964F6A"/>
    <w:rsid w:val="00966BE8"/>
    <w:rsid w:val="0096724D"/>
    <w:rsid w:val="00967E94"/>
    <w:rsid w:val="00967F8C"/>
    <w:rsid w:val="00970895"/>
    <w:rsid w:val="00971D4F"/>
    <w:rsid w:val="009761EE"/>
    <w:rsid w:val="00977166"/>
    <w:rsid w:val="00977392"/>
    <w:rsid w:val="009834EB"/>
    <w:rsid w:val="00983553"/>
    <w:rsid w:val="00984008"/>
    <w:rsid w:val="0099069B"/>
    <w:rsid w:val="00993CF6"/>
    <w:rsid w:val="00995DC4"/>
    <w:rsid w:val="00996AE8"/>
    <w:rsid w:val="009A0570"/>
    <w:rsid w:val="009A0E37"/>
    <w:rsid w:val="009A105D"/>
    <w:rsid w:val="009A54AE"/>
    <w:rsid w:val="009A5674"/>
    <w:rsid w:val="009A6F84"/>
    <w:rsid w:val="009A7F04"/>
    <w:rsid w:val="009B30DC"/>
    <w:rsid w:val="009B461A"/>
    <w:rsid w:val="009B4A33"/>
    <w:rsid w:val="009B559A"/>
    <w:rsid w:val="009B6645"/>
    <w:rsid w:val="009B77F0"/>
    <w:rsid w:val="009C0F67"/>
    <w:rsid w:val="009C40C0"/>
    <w:rsid w:val="009C51AA"/>
    <w:rsid w:val="009C56B7"/>
    <w:rsid w:val="009D180D"/>
    <w:rsid w:val="009D18BE"/>
    <w:rsid w:val="009D600B"/>
    <w:rsid w:val="009E1167"/>
    <w:rsid w:val="009E154A"/>
    <w:rsid w:val="009E1918"/>
    <w:rsid w:val="009E21B8"/>
    <w:rsid w:val="009E22BC"/>
    <w:rsid w:val="009E473A"/>
    <w:rsid w:val="009E476E"/>
    <w:rsid w:val="009E7B1D"/>
    <w:rsid w:val="009E7EA6"/>
    <w:rsid w:val="009F3B27"/>
    <w:rsid w:val="009F65C5"/>
    <w:rsid w:val="009F6810"/>
    <w:rsid w:val="009F6F24"/>
    <w:rsid w:val="009F71A5"/>
    <w:rsid w:val="009F76E1"/>
    <w:rsid w:val="00A02475"/>
    <w:rsid w:val="00A1008D"/>
    <w:rsid w:val="00A11D59"/>
    <w:rsid w:val="00A121AE"/>
    <w:rsid w:val="00A138D8"/>
    <w:rsid w:val="00A1651C"/>
    <w:rsid w:val="00A26688"/>
    <w:rsid w:val="00A26868"/>
    <w:rsid w:val="00A277E1"/>
    <w:rsid w:val="00A30116"/>
    <w:rsid w:val="00A30214"/>
    <w:rsid w:val="00A306A5"/>
    <w:rsid w:val="00A3129B"/>
    <w:rsid w:val="00A31677"/>
    <w:rsid w:val="00A344E3"/>
    <w:rsid w:val="00A40F71"/>
    <w:rsid w:val="00A4207E"/>
    <w:rsid w:val="00A465EE"/>
    <w:rsid w:val="00A46DEA"/>
    <w:rsid w:val="00A51B0F"/>
    <w:rsid w:val="00A51B1F"/>
    <w:rsid w:val="00A5395B"/>
    <w:rsid w:val="00A54FFB"/>
    <w:rsid w:val="00A57318"/>
    <w:rsid w:val="00A576FC"/>
    <w:rsid w:val="00A6094A"/>
    <w:rsid w:val="00A609D9"/>
    <w:rsid w:val="00A60B01"/>
    <w:rsid w:val="00A61E83"/>
    <w:rsid w:val="00A62C2A"/>
    <w:rsid w:val="00A64000"/>
    <w:rsid w:val="00A64E1F"/>
    <w:rsid w:val="00A655A5"/>
    <w:rsid w:val="00A66626"/>
    <w:rsid w:val="00A66924"/>
    <w:rsid w:val="00A66AE4"/>
    <w:rsid w:val="00A711D4"/>
    <w:rsid w:val="00A74565"/>
    <w:rsid w:val="00A74B9E"/>
    <w:rsid w:val="00A75B27"/>
    <w:rsid w:val="00A75E3B"/>
    <w:rsid w:val="00A76994"/>
    <w:rsid w:val="00A773E3"/>
    <w:rsid w:val="00A80B8B"/>
    <w:rsid w:val="00A8664E"/>
    <w:rsid w:val="00A86AB6"/>
    <w:rsid w:val="00A86D7F"/>
    <w:rsid w:val="00A8706C"/>
    <w:rsid w:val="00A96FB1"/>
    <w:rsid w:val="00A97691"/>
    <w:rsid w:val="00AA0454"/>
    <w:rsid w:val="00AA0ED3"/>
    <w:rsid w:val="00AA2873"/>
    <w:rsid w:val="00AA301E"/>
    <w:rsid w:val="00AA5932"/>
    <w:rsid w:val="00AA7D22"/>
    <w:rsid w:val="00AB1E49"/>
    <w:rsid w:val="00AB244F"/>
    <w:rsid w:val="00AB50E6"/>
    <w:rsid w:val="00AB5AFA"/>
    <w:rsid w:val="00AB6631"/>
    <w:rsid w:val="00AB713C"/>
    <w:rsid w:val="00AB7221"/>
    <w:rsid w:val="00AC16E4"/>
    <w:rsid w:val="00AC1D35"/>
    <w:rsid w:val="00AC3D98"/>
    <w:rsid w:val="00AC4823"/>
    <w:rsid w:val="00AC52CE"/>
    <w:rsid w:val="00AC6034"/>
    <w:rsid w:val="00AC7885"/>
    <w:rsid w:val="00AD2136"/>
    <w:rsid w:val="00AD2936"/>
    <w:rsid w:val="00AD37B4"/>
    <w:rsid w:val="00AD3FC5"/>
    <w:rsid w:val="00AD66E1"/>
    <w:rsid w:val="00AD6F57"/>
    <w:rsid w:val="00AD7E82"/>
    <w:rsid w:val="00AE281D"/>
    <w:rsid w:val="00AE4A6B"/>
    <w:rsid w:val="00AE4D0E"/>
    <w:rsid w:val="00AF2558"/>
    <w:rsid w:val="00AF4276"/>
    <w:rsid w:val="00AF5B90"/>
    <w:rsid w:val="00AF6258"/>
    <w:rsid w:val="00AF6A16"/>
    <w:rsid w:val="00B00D43"/>
    <w:rsid w:val="00B037D7"/>
    <w:rsid w:val="00B04E8A"/>
    <w:rsid w:val="00B04EA5"/>
    <w:rsid w:val="00B0574F"/>
    <w:rsid w:val="00B06B2A"/>
    <w:rsid w:val="00B077B0"/>
    <w:rsid w:val="00B07BE0"/>
    <w:rsid w:val="00B11ED3"/>
    <w:rsid w:val="00B130E2"/>
    <w:rsid w:val="00B14C53"/>
    <w:rsid w:val="00B1529D"/>
    <w:rsid w:val="00B165BC"/>
    <w:rsid w:val="00B24535"/>
    <w:rsid w:val="00B260C0"/>
    <w:rsid w:val="00B26DBB"/>
    <w:rsid w:val="00B308F3"/>
    <w:rsid w:val="00B31231"/>
    <w:rsid w:val="00B316C9"/>
    <w:rsid w:val="00B367CC"/>
    <w:rsid w:val="00B372E0"/>
    <w:rsid w:val="00B374A2"/>
    <w:rsid w:val="00B41628"/>
    <w:rsid w:val="00B41B9A"/>
    <w:rsid w:val="00B45578"/>
    <w:rsid w:val="00B45668"/>
    <w:rsid w:val="00B46CEE"/>
    <w:rsid w:val="00B500D4"/>
    <w:rsid w:val="00B50809"/>
    <w:rsid w:val="00B54D0E"/>
    <w:rsid w:val="00B568A4"/>
    <w:rsid w:val="00B57ED0"/>
    <w:rsid w:val="00B621AE"/>
    <w:rsid w:val="00B672D6"/>
    <w:rsid w:val="00B70081"/>
    <w:rsid w:val="00B703EE"/>
    <w:rsid w:val="00B73C77"/>
    <w:rsid w:val="00B74231"/>
    <w:rsid w:val="00B74330"/>
    <w:rsid w:val="00B77D99"/>
    <w:rsid w:val="00B81900"/>
    <w:rsid w:val="00B83756"/>
    <w:rsid w:val="00B850EC"/>
    <w:rsid w:val="00B85D20"/>
    <w:rsid w:val="00B929DD"/>
    <w:rsid w:val="00B92E5A"/>
    <w:rsid w:val="00B93410"/>
    <w:rsid w:val="00B977DC"/>
    <w:rsid w:val="00BA278D"/>
    <w:rsid w:val="00BB1EAA"/>
    <w:rsid w:val="00BB3D6E"/>
    <w:rsid w:val="00BC136C"/>
    <w:rsid w:val="00BC4A42"/>
    <w:rsid w:val="00BC4EFA"/>
    <w:rsid w:val="00BC5110"/>
    <w:rsid w:val="00BC53F8"/>
    <w:rsid w:val="00BD7118"/>
    <w:rsid w:val="00BD7179"/>
    <w:rsid w:val="00BE4DF0"/>
    <w:rsid w:val="00BF03C1"/>
    <w:rsid w:val="00BF0775"/>
    <w:rsid w:val="00BF0951"/>
    <w:rsid w:val="00BF2367"/>
    <w:rsid w:val="00BF239D"/>
    <w:rsid w:val="00BF3249"/>
    <w:rsid w:val="00BF6DE6"/>
    <w:rsid w:val="00BF7925"/>
    <w:rsid w:val="00C007B3"/>
    <w:rsid w:val="00C01A82"/>
    <w:rsid w:val="00C0284A"/>
    <w:rsid w:val="00C057E9"/>
    <w:rsid w:val="00C05809"/>
    <w:rsid w:val="00C05AB2"/>
    <w:rsid w:val="00C06080"/>
    <w:rsid w:val="00C0661B"/>
    <w:rsid w:val="00C070D5"/>
    <w:rsid w:val="00C10A68"/>
    <w:rsid w:val="00C14234"/>
    <w:rsid w:val="00C14448"/>
    <w:rsid w:val="00C14541"/>
    <w:rsid w:val="00C16829"/>
    <w:rsid w:val="00C21A8F"/>
    <w:rsid w:val="00C2250B"/>
    <w:rsid w:val="00C22971"/>
    <w:rsid w:val="00C24296"/>
    <w:rsid w:val="00C2551B"/>
    <w:rsid w:val="00C26C2A"/>
    <w:rsid w:val="00C27496"/>
    <w:rsid w:val="00C31193"/>
    <w:rsid w:val="00C32E38"/>
    <w:rsid w:val="00C332F4"/>
    <w:rsid w:val="00C352DD"/>
    <w:rsid w:val="00C37F26"/>
    <w:rsid w:val="00C41FFB"/>
    <w:rsid w:val="00C43DFC"/>
    <w:rsid w:val="00C447FC"/>
    <w:rsid w:val="00C46C02"/>
    <w:rsid w:val="00C50B57"/>
    <w:rsid w:val="00C52586"/>
    <w:rsid w:val="00C532E4"/>
    <w:rsid w:val="00C536CE"/>
    <w:rsid w:val="00C5474A"/>
    <w:rsid w:val="00C5625D"/>
    <w:rsid w:val="00C56499"/>
    <w:rsid w:val="00C57009"/>
    <w:rsid w:val="00C57B66"/>
    <w:rsid w:val="00C60C05"/>
    <w:rsid w:val="00C60D5E"/>
    <w:rsid w:val="00C60DB2"/>
    <w:rsid w:val="00C637CE"/>
    <w:rsid w:val="00C652CF"/>
    <w:rsid w:val="00C6573C"/>
    <w:rsid w:val="00C662C1"/>
    <w:rsid w:val="00C674BF"/>
    <w:rsid w:val="00C7036B"/>
    <w:rsid w:val="00C70BF5"/>
    <w:rsid w:val="00C755AC"/>
    <w:rsid w:val="00C76417"/>
    <w:rsid w:val="00C7734B"/>
    <w:rsid w:val="00C7755C"/>
    <w:rsid w:val="00C8012B"/>
    <w:rsid w:val="00C80CDC"/>
    <w:rsid w:val="00C86D8A"/>
    <w:rsid w:val="00C9116C"/>
    <w:rsid w:val="00C92E0F"/>
    <w:rsid w:val="00C97C62"/>
    <w:rsid w:val="00CA12C4"/>
    <w:rsid w:val="00CA3AB8"/>
    <w:rsid w:val="00CA5AB9"/>
    <w:rsid w:val="00CA6567"/>
    <w:rsid w:val="00CA6648"/>
    <w:rsid w:val="00CB178F"/>
    <w:rsid w:val="00CB2D17"/>
    <w:rsid w:val="00CB315A"/>
    <w:rsid w:val="00CB5EA2"/>
    <w:rsid w:val="00CB7012"/>
    <w:rsid w:val="00CC1524"/>
    <w:rsid w:val="00CC1AB1"/>
    <w:rsid w:val="00CC25B1"/>
    <w:rsid w:val="00CC5BCF"/>
    <w:rsid w:val="00CC5F92"/>
    <w:rsid w:val="00CD1100"/>
    <w:rsid w:val="00CD279F"/>
    <w:rsid w:val="00CD4D15"/>
    <w:rsid w:val="00CD62D7"/>
    <w:rsid w:val="00CD7790"/>
    <w:rsid w:val="00CD7DD8"/>
    <w:rsid w:val="00CE31ED"/>
    <w:rsid w:val="00CE3681"/>
    <w:rsid w:val="00CE4526"/>
    <w:rsid w:val="00CE45E8"/>
    <w:rsid w:val="00CE6803"/>
    <w:rsid w:val="00CF15B9"/>
    <w:rsid w:val="00CF2679"/>
    <w:rsid w:val="00CF3F96"/>
    <w:rsid w:val="00CF451A"/>
    <w:rsid w:val="00CF660F"/>
    <w:rsid w:val="00D02B33"/>
    <w:rsid w:val="00D03AD6"/>
    <w:rsid w:val="00D053D3"/>
    <w:rsid w:val="00D05BAD"/>
    <w:rsid w:val="00D11685"/>
    <w:rsid w:val="00D11964"/>
    <w:rsid w:val="00D17C9C"/>
    <w:rsid w:val="00D22BB2"/>
    <w:rsid w:val="00D230B7"/>
    <w:rsid w:val="00D2747C"/>
    <w:rsid w:val="00D2765C"/>
    <w:rsid w:val="00D31974"/>
    <w:rsid w:val="00D332AA"/>
    <w:rsid w:val="00D41F33"/>
    <w:rsid w:val="00D44CA7"/>
    <w:rsid w:val="00D47A93"/>
    <w:rsid w:val="00D505F3"/>
    <w:rsid w:val="00D514AF"/>
    <w:rsid w:val="00D52457"/>
    <w:rsid w:val="00D5313C"/>
    <w:rsid w:val="00D5322B"/>
    <w:rsid w:val="00D539E3"/>
    <w:rsid w:val="00D542E6"/>
    <w:rsid w:val="00D54599"/>
    <w:rsid w:val="00D55917"/>
    <w:rsid w:val="00D57CD6"/>
    <w:rsid w:val="00D64BCD"/>
    <w:rsid w:val="00D6610E"/>
    <w:rsid w:val="00D66C9C"/>
    <w:rsid w:val="00D66D8B"/>
    <w:rsid w:val="00D71126"/>
    <w:rsid w:val="00D7448A"/>
    <w:rsid w:val="00D7589D"/>
    <w:rsid w:val="00D76C6B"/>
    <w:rsid w:val="00D77F68"/>
    <w:rsid w:val="00D83BB1"/>
    <w:rsid w:val="00D84344"/>
    <w:rsid w:val="00D86C71"/>
    <w:rsid w:val="00D86CA3"/>
    <w:rsid w:val="00D87D8F"/>
    <w:rsid w:val="00D87E03"/>
    <w:rsid w:val="00D920E9"/>
    <w:rsid w:val="00D9394C"/>
    <w:rsid w:val="00DA0306"/>
    <w:rsid w:val="00DA0FE1"/>
    <w:rsid w:val="00DA6390"/>
    <w:rsid w:val="00DA753E"/>
    <w:rsid w:val="00DA7C09"/>
    <w:rsid w:val="00DA7D01"/>
    <w:rsid w:val="00DB0E7A"/>
    <w:rsid w:val="00DB3547"/>
    <w:rsid w:val="00DB4443"/>
    <w:rsid w:val="00DB5E1E"/>
    <w:rsid w:val="00DB66F5"/>
    <w:rsid w:val="00DC10F3"/>
    <w:rsid w:val="00DC1764"/>
    <w:rsid w:val="00DC3D3A"/>
    <w:rsid w:val="00DC5289"/>
    <w:rsid w:val="00DC6E2E"/>
    <w:rsid w:val="00DC708B"/>
    <w:rsid w:val="00DC7D55"/>
    <w:rsid w:val="00DD31F8"/>
    <w:rsid w:val="00DD3256"/>
    <w:rsid w:val="00DD4878"/>
    <w:rsid w:val="00DE094B"/>
    <w:rsid w:val="00DE0D65"/>
    <w:rsid w:val="00DE231C"/>
    <w:rsid w:val="00DE30AA"/>
    <w:rsid w:val="00DE3B32"/>
    <w:rsid w:val="00DE5562"/>
    <w:rsid w:val="00DE56CA"/>
    <w:rsid w:val="00DE6534"/>
    <w:rsid w:val="00DE670A"/>
    <w:rsid w:val="00E00552"/>
    <w:rsid w:val="00E00CE8"/>
    <w:rsid w:val="00E00D25"/>
    <w:rsid w:val="00E105DF"/>
    <w:rsid w:val="00E118E8"/>
    <w:rsid w:val="00E1381B"/>
    <w:rsid w:val="00E13A1B"/>
    <w:rsid w:val="00E1476E"/>
    <w:rsid w:val="00E158C6"/>
    <w:rsid w:val="00E15D37"/>
    <w:rsid w:val="00E20364"/>
    <w:rsid w:val="00E228BC"/>
    <w:rsid w:val="00E26577"/>
    <w:rsid w:val="00E26687"/>
    <w:rsid w:val="00E3034B"/>
    <w:rsid w:val="00E3166A"/>
    <w:rsid w:val="00E31A20"/>
    <w:rsid w:val="00E31C30"/>
    <w:rsid w:val="00E332F0"/>
    <w:rsid w:val="00E33C29"/>
    <w:rsid w:val="00E33E97"/>
    <w:rsid w:val="00E342C3"/>
    <w:rsid w:val="00E34CEB"/>
    <w:rsid w:val="00E36B2F"/>
    <w:rsid w:val="00E40E8E"/>
    <w:rsid w:val="00E435DA"/>
    <w:rsid w:val="00E4396D"/>
    <w:rsid w:val="00E44A06"/>
    <w:rsid w:val="00E47B53"/>
    <w:rsid w:val="00E50A1A"/>
    <w:rsid w:val="00E51C71"/>
    <w:rsid w:val="00E53E8B"/>
    <w:rsid w:val="00E569BF"/>
    <w:rsid w:val="00E603D5"/>
    <w:rsid w:val="00E605FD"/>
    <w:rsid w:val="00E60AC5"/>
    <w:rsid w:val="00E61B05"/>
    <w:rsid w:val="00E719F8"/>
    <w:rsid w:val="00E73776"/>
    <w:rsid w:val="00E7377F"/>
    <w:rsid w:val="00E74C9D"/>
    <w:rsid w:val="00E80C3E"/>
    <w:rsid w:val="00E8281D"/>
    <w:rsid w:val="00E832F0"/>
    <w:rsid w:val="00E833A1"/>
    <w:rsid w:val="00E8518A"/>
    <w:rsid w:val="00E8548A"/>
    <w:rsid w:val="00E86B63"/>
    <w:rsid w:val="00E86E05"/>
    <w:rsid w:val="00E92C35"/>
    <w:rsid w:val="00EA09B5"/>
    <w:rsid w:val="00EA4975"/>
    <w:rsid w:val="00EB0EB9"/>
    <w:rsid w:val="00EB230E"/>
    <w:rsid w:val="00EB4315"/>
    <w:rsid w:val="00EB4D0E"/>
    <w:rsid w:val="00EB598F"/>
    <w:rsid w:val="00EC09FA"/>
    <w:rsid w:val="00EC0FF4"/>
    <w:rsid w:val="00EC2165"/>
    <w:rsid w:val="00EC2F6F"/>
    <w:rsid w:val="00EC48C9"/>
    <w:rsid w:val="00EC7A3F"/>
    <w:rsid w:val="00EC7D8D"/>
    <w:rsid w:val="00ED24CC"/>
    <w:rsid w:val="00ED3764"/>
    <w:rsid w:val="00ED4B8C"/>
    <w:rsid w:val="00ED5DE8"/>
    <w:rsid w:val="00ED7DF1"/>
    <w:rsid w:val="00EE1EAA"/>
    <w:rsid w:val="00EE421A"/>
    <w:rsid w:val="00EE46D6"/>
    <w:rsid w:val="00EE4735"/>
    <w:rsid w:val="00EE65A5"/>
    <w:rsid w:val="00EE795D"/>
    <w:rsid w:val="00EE79E9"/>
    <w:rsid w:val="00EF4EE3"/>
    <w:rsid w:val="00EF5484"/>
    <w:rsid w:val="00EF7719"/>
    <w:rsid w:val="00F002D8"/>
    <w:rsid w:val="00F01487"/>
    <w:rsid w:val="00F064B4"/>
    <w:rsid w:val="00F07E67"/>
    <w:rsid w:val="00F124F1"/>
    <w:rsid w:val="00F13177"/>
    <w:rsid w:val="00F14942"/>
    <w:rsid w:val="00F14D22"/>
    <w:rsid w:val="00F14F38"/>
    <w:rsid w:val="00F14F47"/>
    <w:rsid w:val="00F22F5B"/>
    <w:rsid w:val="00F2515A"/>
    <w:rsid w:val="00F25A6A"/>
    <w:rsid w:val="00F26C1C"/>
    <w:rsid w:val="00F325DD"/>
    <w:rsid w:val="00F32C83"/>
    <w:rsid w:val="00F3440D"/>
    <w:rsid w:val="00F367EF"/>
    <w:rsid w:val="00F36C0A"/>
    <w:rsid w:val="00F4184F"/>
    <w:rsid w:val="00F4299F"/>
    <w:rsid w:val="00F42A7B"/>
    <w:rsid w:val="00F42C07"/>
    <w:rsid w:val="00F47D98"/>
    <w:rsid w:val="00F516CD"/>
    <w:rsid w:val="00F57BE3"/>
    <w:rsid w:val="00F6122F"/>
    <w:rsid w:val="00F622CD"/>
    <w:rsid w:val="00F65897"/>
    <w:rsid w:val="00F659BE"/>
    <w:rsid w:val="00F75EFD"/>
    <w:rsid w:val="00F77198"/>
    <w:rsid w:val="00F77910"/>
    <w:rsid w:val="00F80C2B"/>
    <w:rsid w:val="00F815A3"/>
    <w:rsid w:val="00F82966"/>
    <w:rsid w:val="00F83238"/>
    <w:rsid w:val="00F86A23"/>
    <w:rsid w:val="00F877F6"/>
    <w:rsid w:val="00F90060"/>
    <w:rsid w:val="00F9106F"/>
    <w:rsid w:val="00F91F39"/>
    <w:rsid w:val="00F9377C"/>
    <w:rsid w:val="00F93E4C"/>
    <w:rsid w:val="00FA05E6"/>
    <w:rsid w:val="00FA2757"/>
    <w:rsid w:val="00FA3E3C"/>
    <w:rsid w:val="00FA5FDD"/>
    <w:rsid w:val="00FA6EE1"/>
    <w:rsid w:val="00FA72C5"/>
    <w:rsid w:val="00FB173B"/>
    <w:rsid w:val="00FB27FE"/>
    <w:rsid w:val="00FB3937"/>
    <w:rsid w:val="00FB62C2"/>
    <w:rsid w:val="00FB62F3"/>
    <w:rsid w:val="00FB6934"/>
    <w:rsid w:val="00FB7034"/>
    <w:rsid w:val="00FB742F"/>
    <w:rsid w:val="00FC0334"/>
    <w:rsid w:val="00FC20F5"/>
    <w:rsid w:val="00FC45A6"/>
    <w:rsid w:val="00FC4E26"/>
    <w:rsid w:val="00FC59CE"/>
    <w:rsid w:val="00FC5B5E"/>
    <w:rsid w:val="00FC6A5C"/>
    <w:rsid w:val="00FD04DD"/>
    <w:rsid w:val="00FD2696"/>
    <w:rsid w:val="00FD3F7F"/>
    <w:rsid w:val="00FD55F9"/>
    <w:rsid w:val="00FD60C0"/>
    <w:rsid w:val="00FD7C05"/>
    <w:rsid w:val="00FE1AF5"/>
    <w:rsid w:val="00FE2308"/>
    <w:rsid w:val="00FE27B0"/>
    <w:rsid w:val="00FE428B"/>
    <w:rsid w:val="00FE5135"/>
    <w:rsid w:val="00FE540E"/>
    <w:rsid w:val="00FE7820"/>
    <w:rsid w:val="00FE7E5E"/>
    <w:rsid w:val="00FF0249"/>
    <w:rsid w:val="00FF052F"/>
    <w:rsid w:val="00FF107E"/>
    <w:rsid w:val="00FF4245"/>
    <w:rsid w:val="00FF566C"/>
    <w:rsid w:val="00FF5BB2"/>
    <w:rsid w:val="021719F1"/>
    <w:rsid w:val="021E5E22"/>
    <w:rsid w:val="02EC6928"/>
    <w:rsid w:val="033B7812"/>
    <w:rsid w:val="03932069"/>
    <w:rsid w:val="040A49D7"/>
    <w:rsid w:val="04211B09"/>
    <w:rsid w:val="044916E0"/>
    <w:rsid w:val="048908D5"/>
    <w:rsid w:val="04A17BF3"/>
    <w:rsid w:val="04A96088"/>
    <w:rsid w:val="05555D61"/>
    <w:rsid w:val="056D5C9C"/>
    <w:rsid w:val="05765EC9"/>
    <w:rsid w:val="05D10D9B"/>
    <w:rsid w:val="061A17F0"/>
    <w:rsid w:val="06836FD5"/>
    <w:rsid w:val="06986E3F"/>
    <w:rsid w:val="06B63B11"/>
    <w:rsid w:val="07421EA3"/>
    <w:rsid w:val="07742060"/>
    <w:rsid w:val="07926AFD"/>
    <w:rsid w:val="07A4050F"/>
    <w:rsid w:val="07A90B69"/>
    <w:rsid w:val="07E766FC"/>
    <w:rsid w:val="07F91277"/>
    <w:rsid w:val="08BC4961"/>
    <w:rsid w:val="08DF7FC9"/>
    <w:rsid w:val="0949667C"/>
    <w:rsid w:val="097C6E9B"/>
    <w:rsid w:val="098F6E6D"/>
    <w:rsid w:val="09B526FE"/>
    <w:rsid w:val="09D37DD5"/>
    <w:rsid w:val="0A1211FB"/>
    <w:rsid w:val="0A1B5AA2"/>
    <w:rsid w:val="0AB51AB2"/>
    <w:rsid w:val="0AD45DC5"/>
    <w:rsid w:val="0B400D33"/>
    <w:rsid w:val="0B6536B2"/>
    <w:rsid w:val="0B7172AB"/>
    <w:rsid w:val="0B762A77"/>
    <w:rsid w:val="0C54704B"/>
    <w:rsid w:val="0CB91D1D"/>
    <w:rsid w:val="0CC734A6"/>
    <w:rsid w:val="0D000D6D"/>
    <w:rsid w:val="0D523B40"/>
    <w:rsid w:val="0D5D557D"/>
    <w:rsid w:val="0D6123EA"/>
    <w:rsid w:val="0D87734E"/>
    <w:rsid w:val="0D960A0B"/>
    <w:rsid w:val="0DDE44B2"/>
    <w:rsid w:val="0E0F062D"/>
    <w:rsid w:val="0E203568"/>
    <w:rsid w:val="0E2B3762"/>
    <w:rsid w:val="0E496458"/>
    <w:rsid w:val="0E6B04BB"/>
    <w:rsid w:val="0F1753C5"/>
    <w:rsid w:val="0F9037B0"/>
    <w:rsid w:val="0FB10E34"/>
    <w:rsid w:val="106359D2"/>
    <w:rsid w:val="10B83149"/>
    <w:rsid w:val="10C42434"/>
    <w:rsid w:val="11371264"/>
    <w:rsid w:val="11B73DB2"/>
    <w:rsid w:val="11C3227D"/>
    <w:rsid w:val="11DA37BF"/>
    <w:rsid w:val="11E54811"/>
    <w:rsid w:val="12012B51"/>
    <w:rsid w:val="126D6E17"/>
    <w:rsid w:val="128A2163"/>
    <w:rsid w:val="1342551A"/>
    <w:rsid w:val="13BD6E1E"/>
    <w:rsid w:val="13DB5900"/>
    <w:rsid w:val="13E9127A"/>
    <w:rsid w:val="1428236D"/>
    <w:rsid w:val="143C4CC5"/>
    <w:rsid w:val="145B6F07"/>
    <w:rsid w:val="147338F6"/>
    <w:rsid w:val="149F1582"/>
    <w:rsid w:val="14C74A84"/>
    <w:rsid w:val="14C9406D"/>
    <w:rsid w:val="14FE4E41"/>
    <w:rsid w:val="15192EE2"/>
    <w:rsid w:val="154F4421"/>
    <w:rsid w:val="156337BE"/>
    <w:rsid w:val="159E735D"/>
    <w:rsid w:val="15BA63D9"/>
    <w:rsid w:val="15D854D1"/>
    <w:rsid w:val="15F35601"/>
    <w:rsid w:val="15FD7BAD"/>
    <w:rsid w:val="161869E8"/>
    <w:rsid w:val="1725102C"/>
    <w:rsid w:val="1736458F"/>
    <w:rsid w:val="17A114AF"/>
    <w:rsid w:val="17C47277"/>
    <w:rsid w:val="17FE0DCB"/>
    <w:rsid w:val="18152861"/>
    <w:rsid w:val="18605B77"/>
    <w:rsid w:val="188533F0"/>
    <w:rsid w:val="18B24663"/>
    <w:rsid w:val="19176FCA"/>
    <w:rsid w:val="194652CD"/>
    <w:rsid w:val="197A398D"/>
    <w:rsid w:val="197E7842"/>
    <w:rsid w:val="19951D1F"/>
    <w:rsid w:val="1A284B71"/>
    <w:rsid w:val="1A361C5A"/>
    <w:rsid w:val="1A4B1EAA"/>
    <w:rsid w:val="1AE51065"/>
    <w:rsid w:val="1B0D407F"/>
    <w:rsid w:val="1B1E770D"/>
    <w:rsid w:val="1B29756D"/>
    <w:rsid w:val="1B31526B"/>
    <w:rsid w:val="1B727348"/>
    <w:rsid w:val="1B8654DE"/>
    <w:rsid w:val="1BC55641"/>
    <w:rsid w:val="1C132F2A"/>
    <w:rsid w:val="1C46081C"/>
    <w:rsid w:val="1C7D1B54"/>
    <w:rsid w:val="1CCB6AFF"/>
    <w:rsid w:val="1D282805"/>
    <w:rsid w:val="1D603789"/>
    <w:rsid w:val="1D7B1179"/>
    <w:rsid w:val="1E0138E1"/>
    <w:rsid w:val="1E0F5782"/>
    <w:rsid w:val="1E7B00DB"/>
    <w:rsid w:val="1E922ABF"/>
    <w:rsid w:val="1ECD5435"/>
    <w:rsid w:val="1EEE22D7"/>
    <w:rsid w:val="1EEF1635"/>
    <w:rsid w:val="1F067A82"/>
    <w:rsid w:val="1F2B4EB0"/>
    <w:rsid w:val="1F2D776E"/>
    <w:rsid w:val="1F386B32"/>
    <w:rsid w:val="1F4C62AE"/>
    <w:rsid w:val="1FA203D3"/>
    <w:rsid w:val="1FE11E6C"/>
    <w:rsid w:val="1FED63D4"/>
    <w:rsid w:val="1FF414B8"/>
    <w:rsid w:val="1FFD23D6"/>
    <w:rsid w:val="200834B2"/>
    <w:rsid w:val="2053371D"/>
    <w:rsid w:val="2058366D"/>
    <w:rsid w:val="20641481"/>
    <w:rsid w:val="207743B2"/>
    <w:rsid w:val="2115177A"/>
    <w:rsid w:val="216036B2"/>
    <w:rsid w:val="21837EE8"/>
    <w:rsid w:val="21906485"/>
    <w:rsid w:val="21B65AB0"/>
    <w:rsid w:val="21CD61C2"/>
    <w:rsid w:val="21FE52DA"/>
    <w:rsid w:val="220D1727"/>
    <w:rsid w:val="22104956"/>
    <w:rsid w:val="22507DB3"/>
    <w:rsid w:val="225D674F"/>
    <w:rsid w:val="228478CB"/>
    <w:rsid w:val="228D6ACF"/>
    <w:rsid w:val="22D55A3C"/>
    <w:rsid w:val="22DE0276"/>
    <w:rsid w:val="22DF4D14"/>
    <w:rsid w:val="23094D46"/>
    <w:rsid w:val="232722E7"/>
    <w:rsid w:val="232E02B8"/>
    <w:rsid w:val="238D0234"/>
    <w:rsid w:val="23D60819"/>
    <w:rsid w:val="23EC0875"/>
    <w:rsid w:val="24341CAB"/>
    <w:rsid w:val="245130B5"/>
    <w:rsid w:val="24705097"/>
    <w:rsid w:val="24B973FA"/>
    <w:rsid w:val="24F352BA"/>
    <w:rsid w:val="251C738E"/>
    <w:rsid w:val="256E1E8C"/>
    <w:rsid w:val="25717ED9"/>
    <w:rsid w:val="25722D84"/>
    <w:rsid w:val="25EE509F"/>
    <w:rsid w:val="261172AF"/>
    <w:rsid w:val="265A008C"/>
    <w:rsid w:val="266E1618"/>
    <w:rsid w:val="269D4FB4"/>
    <w:rsid w:val="26A877B1"/>
    <w:rsid w:val="26D810AF"/>
    <w:rsid w:val="271A3D68"/>
    <w:rsid w:val="274648B4"/>
    <w:rsid w:val="275A536A"/>
    <w:rsid w:val="27A73C92"/>
    <w:rsid w:val="27F46A09"/>
    <w:rsid w:val="27FE4CA0"/>
    <w:rsid w:val="28091942"/>
    <w:rsid w:val="281B2CF4"/>
    <w:rsid w:val="282E26EF"/>
    <w:rsid w:val="290D7C25"/>
    <w:rsid w:val="293B7863"/>
    <w:rsid w:val="29CF666A"/>
    <w:rsid w:val="2A2E0889"/>
    <w:rsid w:val="2A39252F"/>
    <w:rsid w:val="2A53544E"/>
    <w:rsid w:val="2A69080C"/>
    <w:rsid w:val="2A6B7B11"/>
    <w:rsid w:val="2A94710E"/>
    <w:rsid w:val="2AD61503"/>
    <w:rsid w:val="2AF121A1"/>
    <w:rsid w:val="2B182554"/>
    <w:rsid w:val="2C643DF2"/>
    <w:rsid w:val="2CED7694"/>
    <w:rsid w:val="2CFB12E4"/>
    <w:rsid w:val="2D1F5B2C"/>
    <w:rsid w:val="2D5A1F84"/>
    <w:rsid w:val="2D7B44EE"/>
    <w:rsid w:val="2D8716C1"/>
    <w:rsid w:val="2DA826E2"/>
    <w:rsid w:val="2DAF71F4"/>
    <w:rsid w:val="2DC5268F"/>
    <w:rsid w:val="2E0C47A5"/>
    <w:rsid w:val="2E232FEE"/>
    <w:rsid w:val="2E85794B"/>
    <w:rsid w:val="2E9A5B0A"/>
    <w:rsid w:val="2ED54062"/>
    <w:rsid w:val="2F0965D9"/>
    <w:rsid w:val="2F0B39FC"/>
    <w:rsid w:val="2F7007DC"/>
    <w:rsid w:val="2FD334A1"/>
    <w:rsid w:val="2FF6355D"/>
    <w:rsid w:val="30070088"/>
    <w:rsid w:val="30423E44"/>
    <w:rsid w:val="30587B4D"/>
    <w:rsid w:val="30B62E2C"/>
    <w:rsid w:val="30D74B70"/>
    <w:rsid w:val="312C704D"/>
    <w:rsid w:val="31A13CD2"/>
    <w:rsid w:val="31DE1349"/>
    <w:rsid w:val="32AA1535"/>
    <w:rsid w:val="32B11C1C"/>
    <w:rsid w:val="32FE2EC1"/>
    <w:rsid w:val="33311188"/>
    <w:rsid w:val="33AE2F72"/>
    <w:rsid w:val="34522FFB"/>
    <w:rsid w:val="34595124"/>
    <w:rsid w:val="348547B7"/>
    <w:rsid w:val="34CA4843"/>
    <w:rsid w:val="34CE601D"/>
    <w:rsid w:val="34F22ED2"/>
    <w:rsid w:val="35431C62"/>
    <w:rsid w:val="35A54CF8"/>
    <w:rsid w:val="365E35F0"/>
    <w:rsid w:val="36A33962"/>
    <w:rsid w:val="36F0127B"/>
    <w:rsid w:val="374C5FC4"/>
    <w:rsid w:val="378A2A2C"/>
    <w:rsid w:val="37AA02FF"/>
    <w:rsid w:val="37CD3A4C"/>
    <w:rsid w:val="37DB034F"/>
    <w:rsid w:val="38056718"/>
    <w:rsid w:val="38D721D0"/>
    <w:rsid w:val="39397D4D"/>
    <w:rsid w:val="39587DCF"/>
    <w:rsid w:val="399F301D"/>
    <w:rsid w:val="39B5037F"/>
    <w:rsid w:val="39DB7C92"/>
    <w:rsid w:val="3A4603C2"/>
    <w:rsid w:val="3ABD57F4"/>
    <w:rsid w:val="3BAB5C78"/>
    <w:rsid w:val="3BCF64D0"/>
    <w:rsid w:val="3C290421"/>
    <w:rsid w:val="3C3661CF"/>
    <w:rsid w:val="3CB67762"/>
    <w:rsid w:val="3CDE33BD"/>
    <w:rsid w:val="3CEC4CE0"/>
    <w:rsid w:val="3CF31084"/>
    <w:rsid w:val="3D3C3E96"/>
    <w:rsid w:val="3D403ABD"/>
    <w:rsid w:val="3DB9538C"/>
    <w:rsid w:val="3DF36553"/>
    <w:rsid w:val="3E4A1356"/>
    <w:rsid w:val="3E6322A1"/>
    <w:rsid w:val="3EA90979"/>
    <w:rsid w:val="3F4D57A7"/>
    <w:rsid w:val="3F86080A"/>
    <w:rsid w:val="3FAA5058"/>
    <w:rsid w:val="3FBB7124"/>
    <w:rsid w:val="3FBD0387"/>
    <w:rsid w:val="3FBE1821"/>
    <w:rsid w:val="3FF45B3B"/>
    <w:rsid w:val="40017EA2"/>
    <w:rsid w:val="400418FE"/>
    <w:rsid w:val="403C2224"/>
    <w:rsid w:val="404B006D"/>
    <w:rsid w:val="4063520C"/>
    <w:rsid w:val="406919A7"/>
    <w:rsid w:val="408975B4"/>
    <w:rsid w:val="409640DA"/>
    <w:rsid w:val="40B82188"/>
    <w:rsid w:val="41046949"/>
    <w:rsid w:val="427D56E4"/>
    <w:rsid w:val="42FB62E9"/>
    <w:rsid w:val="433D548D"/>
    <w:rsid w:val="434F5BD4"/>
    <w:rsid w:val="43F527AA"/>
    <w:rsid w:val="440E317C"/>
    <w:rsid w:val="440E698A"/>
    <w:rsid w:val="44470625"/>
    <w:rsid w:val="446A54A5"/>
    <w:rsid w:val="44AD2343"/>
    <w:rsid w:val="451A3C89"/>
    <w:rsid w:val="452C374A"/>
    <w:rsid w:val="45557828"/>
    <w:rsid w:val="455A05F9"/>
    <w:rsid w:val="45A9158E"/>
    <w:rsid w:val="45A91602"/>
    <w:rsid w:val="461D13C1"/>
    <w:rsid w:val="464F569B"/>
    <w:rsid w:val="468C45BB"/>
    <w:rsid w:val="469146E9"/>
    <w:rsid w:val="469C66BB"/>
    <w:rsid w:val="46DC2987"/>
    <w:rsid w:val="473728F6"/>
    <w:rsid w:val="475133E0"/>
    <w:rsid w:val="47BF516D"/>
    <w:rsid w:val="4845360B"/>
    <w:rsid w:val="486E69AC"/>
    <w:rsid w:val="48FF011A"/>
    <w:rsid w:val="490B05A8"/>
    <w:rsid w:val="491F7A11"/>
    <w:rsid w:val="49321CF3"/>
    <w:rsid w:val="49377A57"/>
    <w:rsid w:val="49410F15"/>
    <w:rsid w:val="49536AD9"/>
    <w:rsid w:val="495E4214"/>
    <w:rsid w:val="495E5792"/>
    <w:rsid w:val="498B138C"/>
    <w:rsid w:val="4A513E63"/>
    <w:rsid w:val="4A804E80"/>
    <w:rsid w:val="4A822A61"/>
    <w:rsid w:val="4A8F550E"/>
    <w:rsid w:val="4AE97EC7"/>
    <w:rsid w:val="4B166281"/>
    <w:rsid w:val="4BF127F1"/>
    <w:rsid w:val="4C292A8E"/>
    <w:rsid w:val="4C80473F"/>
    <w:rsid w:val="4C9C7B8B"/>
    <w:rsid w:val="4CB00756"/>
    <w:rsid w:val="4D052EEA"/>
    <w:rsid w:val="4D0714CD"/>
    <w:rsid w:val="4D0B3F69"/>
    <w:rsid w:val="4D7974ED"/>
    <w:rsid w:val="4DA74382"/>
    <w:rsid w:val="4DBE5EAD"/>
    <w:rsid w:val="4DF16F64"/>
    <w:rsid w:val="4E0D125A"/>
    <w:rsid w:val="4E4454C2"/>
    <w:rsid w:val="4E536445"/>
    <w:rsid w:val="4E937D24"/>
    <w:rsid w:val="4E941D6F"/>
    <w:rsid w:val="4EA05034"/>
    <w:rsid w:val="4EAC0540"/>
    <w:rsid w:val="4ECC4277"/>
    <w:rsid w:val="4F773B16"/>
    <w:rsid w:val="4F7A7FD3"/>
    <w:rsid w:val="4FA52131"/>
    <w:rsid w:val="4FCE0137"/>
    <w:rsid w:val="4FD83E48"/>
    <w:rsid w:val="4FE47487"/>
    <w:rsid w:val="502347DA"/>
    <w:rsid w:val="504B3BF2"/>
    <w:rsid w:val="508D4FF8"/>
    <w:rsid w:val="50BD1828"/>
    <w:rsid w:val="51C001C3"/>
    <w:rsid w:val="51F03F33"/>
    <w:rsid w:val="522358A8"/>
    <w:rsid w:val="529526C8"/>
    <w:rsid w:val="529D3A4C"/>
    <w:rsid w:val="52A34775"/>
    <w:rsid w:val="52A37486"/>
    <w:rsid w:val="52C70D06"/>
    <w:rsid w:val="52D94699"/>
    <w:rsid w:val="52EB3DAD"/>
    <w:rsid w:val="532E3E09"/>
    <w:rsid w:val="533C7BDA"/>
    <w:rsid w:val="534D5714"/>
    <w:rsid w:val="53665CB5"/>
    <w:rsid w:val="536A001E"/>
    <w:rsid w:val="53833715"/>
    <w:rsid w:val="53FC55B9"/>
    <w:rsid w:val="540401A8"/>
    <w:rsid w:val="542137BD"/>
    <w:rsid w:val="54686550"/>
    <w:rsid w:val="550E3325"/>
    <w:rsid w:val="555C0C21"/>
    <w:rsid w:val="557C312A"/>
    <w:rsid w:val="55B22FEA"/>
    <w:rsid w:val="55C31578"/>
    <w:rsid w:val="55F86BA0"/>
    <w:rsid w:val="564957AA"/>
    <w:rsid w:val="5657044C"/>
    <w:rsid w:val="56714FF9"/>
    <w:rsid w:val="5674636D"/>
    <w:rsid w:val="56C04CD2"/>
    <w:rsid w:val="575B4844"/>
    <w:rsid w:val="57991641"/>
    <w:rsid w:val="57C5704A"/>
    <w:rsid w:val="57F459CD"/>
    <w:rsid w:val="58511DB2"/>
    <w:rsid w:val="58A641B8"/>
    <w:rsid w:val="58B65ADD"/>
    <w:rsid w:val="58CE02EF"/>
    <w:rsid w:val="591D5A8E"/>
    <w:rsid w:val="59747EC0"/>
    <w:rsid w:val="5993199F"/>
    <w:rsid w:val="59AB50ED"/>
    <w:rsid w:val="59B97333"/>
    <w:rsid w:val="5A0806AD"/>
    <w:rsid w:val="5A21491C"/>
    <w:rsid w:val="5A495A2A"/>
    <w:rsid w:val="5A635C06"/>
    <w:rsid w:val="5A67756D"/>
    <w:rsid w:val="5A7B7B58"/>
    <w:rsid w:val="5A825498"/>
    <w:rsid w:val="5AB20B19"/>
    <w:rsid w:val="5B0A5289"/>
    <w:rsid w:val="5B8751E0"/>
    <w:rsid w:val="5B9277E5"/>
    <w:rsid w:val="5BC113E1"/>
    <w:rsid w:val="5BC4698F"/>
    <w:rsid w:val="5BFE4E0E"/>
    <w:rsid w:val="5C6A5C8E"/>
    <w:rsid w:val="5C810B87"/>
    <w:rsid w:val="5CE43338"/>
    <w:rsid w:val="5CFF33BD"/>
    <w:rsid w:val="5D1069AB"/>
    <w:rsid w:val="5D5D4C99"/>
    <w:rsid w:val="5D654018"/>
    <w:rsid w:val="5D9007DD"/>
    <w:rsid w:val="5D9B404D"/>
    <w:rsid w:val="5E9B278D"/>
    <w:rsid w:val="5F011662"/>
    <w:rsid w:val="5F0D5BBC"/>
    <w:rsid w:val="5F14153B"/>
    <w:rsid w:val="5F6B5788"/>
    <w:rsid w:val="5F7A60D6"/>
    <w:rsid w:val="5F9A7A61"/>
    <w:rsid w:val="5FBE65D0"/>
    <w:rsid w:val="5FE80354"/>
    <w:rsid w:val="600F2697"/>
    <w:rsid w:val="602F706F"/>
    <w:rsid w:val="60550BA9"/>
    <w:rsid w:val="608063E7"/>
    <w:rsid w:val="60865620"/>
    <w:rsid w:val="613D62A1"/>
    <w:rsid w:val="61A435E7"/>
    <w:rsid w:val="61B92EC1"/>
    <w:rsid w:val="61DE6787"/>
    <w:rsid w:val="62163816"/>
    <w:rsid w:val="624A2062"/>
    <w:rsid w:val="625334F7"/>
    <w:rsid w:val="62D20E2C"/>
    <w:rsid w:val="62E66F1B"/>
    <w:rsid w:val="6317770F"/>
    <w:rsid w:val="63235308"/>
    <w:rsid w:val="63FE3309"/>
    <w:rsid w:val="6419642F"/>
    <w:rsid w:val="641C64AA"/>
    <w:rsid w:val="6468626D"/>
    <w:rsid w:val="64BB1587"/>
    <w:rsid w:val="64F31B4A"/>
    <w:rsid w:val="658D55E0"/>
    <w:rsid w:val="65C6013F"/>
    <w:rsid w:val="660C3CBB"/>
    <w:rsid w:val="66173CBA"/>
    <w:rsid w:val="66435539"/>
    <w:rsid w:val="66AB50CF"/>
    <w:rsid w:val="67145D50"/>
    <w:rsid w:val="675E569F"/>
    <w:rsid w:val="67711B91"/>
    <w:rsid w:val="679F6EA0"/>
    <w:rsid w:val="689C2812"/>
    <w:rsid w:val="68B77810"/>
    <w:rsid w:val="68BA3C27"/>
    <w:rsid w:val="69010545"/>
    <w:rsid w:val="6907267A"/>
    <w:rsid w:val="692D6F83"/>
    <w:rsid w:val="69C90FDA"/>
    <w:rsid w:val="69D67D71"/>
    <w:rsid w:val="6A2850DB"/>
    <w:rsid w:val="6A41558C"/>
    <w:rsid w:val="6AB146EE"/>
    <w:rsid w:val="6AC701AC"/>
    <w:rsid w:val="6AC72BFB"/>
    <w:rsid w:val="6B28213B"/>
    <w:rsid w:val="6B394B12"/>
    <w:rsid w:val="6B4B2282"/>
    <w:rsid w:val="6B6F6EA8"/>
    <w:rsid w:val="6B912392"/>
    <w:rsid w:val="6B9A2FA5"/>
    <w:rsid w:val="6BAF758B"/>
    <w:rsid w:val="6C335560"/>
    <w:rsid w:val="6C501C71"/>
    <w:rsid w:val="6C735784"/>
    <w:rsid w:val="6CC619DE"/>
    <w:rsid w:val="6D252490"/>
    <w:rsid w:val="6D877950"/>
    <w:rsid w:val="6D97552D"/>
    <w:rsid w:val="6E0C2303"/>
    <w:rsid w:val="6E4A2C3C"/>
    <w:rsid w:val="6EDC1E17"/>
    <w:rsid w:val="6EFC50C5"/>
    <w:rsid w:val="6F034CD8"/>
    <w:rsid w:val="6F372FC5"/>
    <w:rsid w:val="6F4D3C7D"/>
    <w:rsid w:val="6F5128EA"/>
    <w:rsid w:val="6FAB2134"/>
    <w:rsid w:val="70125ED3"/>
    <w:rsid w:val="70233121"/>
    <w:rsid w:val="71455CA1"/>
    <w:rsid w:val="714E1B1E"/>
    <w:rsid w:val="720C7D7C"/>
    <w:rsid w:val="722D2096"/>
    <w:rsid w:val="7232161E"/>
    <w:rsid w:val="72647697"/>
    <w:rsid w:val="727B5895"/>
    <w:rsid w:val="7281317F"/>
    <w:rsid w:val="72D7678E"/>
    <w:rsid w:val="734A732E"/>
    <w:rsid w:val="73C2530D"/>
    <w:rsid w:val="73D52A1A"/>
    <w:rsid w:val="744F2E5D"/>
    <w:rsid w:val="74623200"/>
    <w:rsid w:val="749A2DF8"/>
    <w:rsid w:val="75341D32"/>
    <w:rsid w:val="75C07DED"/>
    <w:rsid w:val="75E825DA"/>
    <w:rsid w:val="75F2EBEE"/>
    <w:rsid w:val="764955B6"/>
    <w:rsid w:val="76571F4C"/>
    <w:rsid w:val="768C37A3"/>
    <w:rsid w:val="768E5689"/>
    <w:rsid w:val="76B85BA1"/>
    <w:rsid w:val="77016EBA"/>
    <w:rsid w:val="778A6A81"/>
    <w:rsid w:val="77A46631"/>
    <w:rsid w:val="788B7A69"/>
    <w:rsid w:val="78BA5B9B"/>
    <w:rsid w:val="78BE178B"/>
    <w:rsid w:val="78D13229"/>
    <w:rsid w:val="79151530"/>
    <w:rsid w:val="7941700F"/>
    <w:rsid w:val="797549C1"/>
    <w:rsid w:val="798476B5"/>
    <w:rsid w:val="799B7053"/>
    <w:rsid w:val="79FE7BEC"/>
    <w:rsid w:val="7A15618C"/>
    <w:rsid w:val="7A4513F4"/>
    <w:rsid w:val="7A771A2D"/>
    <w:rsid w:val="7A854F3F"/>
    <w:rsid w:val="7A951BEE"/>
    <w:rsid w:val="7AB2168D"/>
    <w:rsid w:val="7B1F1953"/>
    <w:rsid w:val="7BBF35D0"/>
    <w:rsid w:val="7BC3719B"/>
    <w:rsid w:val="7BEA2916"/>
    <w:rsid w:val="7C4A15DB"/>
    <w:rsid w:val="7CAA27EA"/>
    <w:rsid w:val="7CBD003F"/>
    <w:rsid w:val="7CE776FE"/>
    <w:rsid w:val="7D3D6844"/>
    <w:rsid w:val="7DBC2716"/>
    <w:rsid w:val="7DED0EE0"/>
    <w:rsid w:val="7E345947"/>
    <w:rsid w:val="7E795DA7"/>
    <w:rsid w:val="7E7E18F1"/>
    <w:rsid w:val="7EAF29FD"/>
    <w:rsid w:val="7ED5327F"/>
    <w:rsid w:val="7ED72BA3"/>
    <w:rsid w:val="7F1C52B2"/>
    <w:rsid w:val="7F835EC6"/>
    <w:rsid w:val="7F923785"/>
    <w:rsid w:val="7FB7333A"/>
    <w:rsid w:val="937FF1A5"/>
    <w:rsid w:val="BF33A6C8"/>
    <w:rsid w:val="CF3FEA10"/>
    <w:rsid w:val="EF6FC9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link w:val="25"/>
    <w:semiHidden/>
    <w:qFormat/>
    <w:uiPriority w:val="99"/>
    <w:rPr>
      <w:rFonts w:ascii="宋体"/>
      <w:sz w:val="18"/>
      <w:szCs w:val="18"/>
    </w:rPr>
  </w:style>
  <w:style w:type="paragraph" w:styleId="3">
    <w:name w:val="annotation text"/>
    <w:basedOn w:val="1"/>
    <w:link w:val="27"/>
    <w:qFormat/>
    <w:uiPriority w:val="0"/>
    <w:pPr>
      <w:jc w:val="left"/>
    </w:pPr>
  </w:style>
  <w:style w:type="paragraph" w:styleId="4">
    <w:name w:val="Date"/>
    <w:basedOn w:val="1"/>
    <w:next w:val="1"/>
    <w:link w:val="30"/>
    <w:unhideWhenUsed/>
    <w:qFormat/>
    <w:uiPriority w:val="99"/>
    <w:pPr>
      <w:ind w:left="100" w:leftChars="2500"/>
    </w:pPr>
  </w:style>
  <w:style w:type="paragraph" w:styleId="5">
    <w:name w:val="Balloon Text"/>
    <w:basedOn w:val="1"/>
    <w:link w:val="26"/>
    <w:semiHidden/>
    <w:qFormat/>
    <w:uiPriority w:val="99"/>
    <w:rPr>
      <w:sz w:val="18"/>
      <w:szCs w:val="18"/>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8"/>
    <w:semiHidden/>
    <w:qFormat/>
    <w:uiPriority w:val="99"/>
    <w:rPr>
      <w:b/>
      <w:bCs/>
    </w:rPr>
  </w:style>
  <w:style w:type="table" w:styleId="11">
    <w:name w:val="Table Grid"/>
    <w:basedOn w:val="10"/>
    <w:qFormat/>
    <w:locked/>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qFormat/>
    <w:uiPriority w:val="0"/>
  </w:style>
  <w:style w:type="character" w:styleId="14">
    <w:name w:val="FollowedHyperlink"/>
    <w:basedOn w:val="12"/>
    <w:unhideWhenUsed/>
    <w:qFormat/>
    <w:uiPriority w:val="99"/>
    <w:rPr>
      <w:color w:val="333333"/>
      <w:u w:val="none"/>
    </w:rPr>
  </w:style>
  <w:style w:type="character" w:styleId="15">
    <w:name w:val="Emphasis"/>
    <w:basedOn w:val="12"/>
    <w:qFormat/>
    <w:locked/>
    <w:uiPriority w:val="0"/>
  </w:style>
  <w:style w:type="character" w:styleId="16">
    <w:name w:val="HTML Definition"/>
    <w:basedOn w:val="12"/>
    <w:unhideWhenUsed/>
    <w:qFormat/>
    <w:uiPriority w:val="99"/>
  </w:style>
  <w:style w:type="character" w:styleId="17">
    <w:name w:val="HTML Variable"/>
    <w:basedOn w:val="12"/>
    <w:unhideWhenUsed/>
    <w:qFormat/>
    <w:uiPriority w:val="99"/>
  </w:style>
  <w:style w:type="character" w:styleId="18">
    <w:name w:val="Hyperlink"/>
    <w:basedOn w:val="12"/>
    <w:unhideWhenUsed/>
    <w:qFormat/>
    <w:uiPriority w:val="99"/>
    <w:rPr>
      <w:color w:val="0000FF" w:themeColor="hyperlink"/>
      <w:u w:val="single"/>
      <w14:textFill>
        <w14:solidFill>
          <w14:schemeClr w14:val="hlink"/>
        </w14:solidFill>
      </w14:textFill>
    </w:rPr>
  </w:style>
  <w:style w:type="character" w:styleId="19">
    <w:name w:val="HTML Code"/>
    <w:basedOn w:val="12"/>
    <w:unhideWhenUsed/>
    <w:qFormat/>
    <w:uiPriority w:val="99"/>
    <w:rPr>
      <w:rFonts w:ascii="Courier New" w:hAnsi="Courier New"/>
      <w:sz w:val="20"/>
    </w:rPr>
  </w:style>
  <w:style w:type="character" w:styleId="20">
    <w:name w:val="annotation reference"/>
    <w:basedOn w:val="12"/>
    <w:semiHidden/>
    <w:qFormat/>
    <w:uiPriority w:val="99"/>
    <w:rPr>
      <w:rFonts w:cs="Times New Roman"/>
      <w:sz w:val="21"/>
      <w:szCs w:val="21"/>
    </w:rPr>
  </w:style>
  <w:style w:type="character" w:styleId="21">
    <w:name w:val="HTML Cite"/>
    <w:basedOn w:val="12"/>
    <w:unhideWhenUsed/>
    <w:qFormat/>
    <w:uiPriority w:val="99"/>
  </w:style>
  <w:style w:type="character" w:customStyle="1" w:styleId="22">
    <w:name w:val="页眉 Char"/>
    <w:basedOn w:val="12"/>
    <w:link w:val="7"/>
    <w:semiHidden/>
    <w:qFormat/>
    <w:locked/>
    <w:uiPriority w:val="99"/>
    <w:rPr>
      <w:rFonts w:cs="Times New Roman"/>
      <w:sz w:val="18"/>
      <w:szCs w:val="18"/>
    </w:rPr>
  </w:style>
  <w:style w:type="character" w:customStyle="1" w:styleId="23">
    <w:name w:val="页脚 Char"/>
    <w:basedOn w:val="12"/>
    <w:link w:val="6"/>
    <w:qFormat/>
    <w:locked/>
    <w:uiPriority w:val="99"/>
    <w:rPr>
      <w:rFonts w:cs="Times New Roman"/>
      <w:sz w:val="18"/>
      <w:szCs w:val="18"/>
    </w:rPr>
  </w:style>
  <w:style w:type="paragraph" w:customStyle="1" w:styleId="24">
    <w:name w:val="List Paragraph"/>
    <w:basedOn w:val="1"/>
    <w:qFormat/>
    <w:uiPriority w:val="99"/>
    <w:pPr>
      <w:ind w:firstLine="420" w:firstLineChars="200"/>
    </w:pPr>
  </w:style>
  <w:style w:type="character" w:customStyle="1" w:styleId="25">
    <w:name w:val="文档结构图 Char"/>
    <w:basedOn w:val="12"/>
    <w:link w:val="2"/>
    <w:semiHidden/>
    <w:qFormat/>
    <w:locked/>
    <w:uiPriority w:val="99"/>
    <w:rPr>
      <w:rFonts w:ascii="宋体" w:eastAsia="宋体" w:cs="Times New Roman"/>
      <w:sz w:val="18"/>
      <w:szCs w:val="18"/>
    </w:rPr>
  </w:style>
  <w:style w:type="character" w:customStyle="1" w:styleId="26">
    <w:name w:val="批注框文本 Char"/>
    <w:basedOn w:val="12"/>
    <w:link w:val="5"/>
    <w:semiHidden/>
    <w:qFormat/>
    <w:locked/>
    <w:uiPriority w:val="99"/>
    <w:rPr>
      <w:rFonts w:cs="Times New Roman"/>
      <w:sz w:val="18"/>
      <w:szCs w:val="18"/>
    </w:rPr>
  </w:style>
  <w:style w:type="character" w:customStyle="1" w:styleId="27">
    <w:name w:val="批注文字 Char"/>
    <w:basedOn w:val="12"/>
    <w:link w:val="3"/>
    <w:semiHidden/>
    <w:qFormat/>
    <w:uiPriority w:val="99"/>
    <w:rPr>
      <w:rFonts w:ascii="Calibri" w:hAnsi="Calibri"/>
      <w:kern w:val="2"/>
      <w:sz w:val="21"/>
      <w:szCs w:val="22"/>
    </w:rPr>
  </w:style>
  <w:style w:type="character" w:customStyle="1" w:styleId="28">
    <w:name w:val="批注主题 Char"/>
    <w:basedOn w:val="27"/>
    <w:link w:val="9"/>
    <w:semiHidden/>
    <w:qFormat/>
    <w:uiPriority w:val="99"/>
    <w:rPr>
      <w:rFonts w:ascii="Calibri" w:hAnsi="Calibri"/>
      <w:b/>
      <w:bCs/>
      <w:kern w:val="2"/>
      <w:sz w:val="21"/>
      <w:szCs w:val="22"/>
    </w:rPr>
  </w:style>
  <w:style w:type="paragraph" w:customStyle="1" w:styleId="29">
    <w:name w:val="p0"/>
    <w:basedOn w:val="1"/>
    <w:qFormat/>
    <w:uiPriority w:val="0"/>
    <w:pPr>
      <w:widowControl/>
    </w:pPr>
    <w:rPr>
      <w:rFonts w:ascii="Times New Roman" w:hAnsi="Times New Roman"/>
      <w:kern w:val="0"/>
      <w:szCs w:val="21"/>
    </w:rPr>
  </w:style>
  <w:style w:type="character" w:customStyle="1" w:styleId="30">
    <w:name w:val="日期 Char"/>
    <w:basedOn w:val="12"/>
    <w:link w:val="4"/>
    <w:semiHidden/>
    <w:qFormat/>
    <w:uiPriority w:val="99"/>
    <w:rPr>
      <w:rFonts w:ascii="Calibri" w:hAnsi="Calibri"/>
      <w:kern w:val="2"/>
      <w:sz w:val="21"/>
      <w:szCs w:val="22"/>
    </w:rPr>
  </w:style>
  <w:style w:type="character" w:customStyle="1" w:styleId="31">
    <w:name w:val="first-child"/>
    <w:basedOn w:val="12"/>
    <w:qFormat/>
    <w:uiPriority w:val="0"/>
  </w:style>
  <w:style w:type="character" w:customStyle="1" w:styleId="32">
    <w:name w:val="first-child1"/>
    <w:basedOn w:val="12"/>
    <w:qFormat/>
    <w:uiPriority w:val="0"/>
    <w:rPr>
      <w:color w:val="0071C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1667</Words>
  <Characters>9507</Characters>
  <Lines>79</Lines>
  <Paragraphs>22</Paragraphs>
  <TotalTime>7</TotalTime>
  <ScaleCrop>false</ScaleCrop>
  <LinksUpToDate>false</LinksUpToDate>
  <CharactersWithSpaces>11152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2019-10-10T16:15:00Z</dcterms:created>
  <dc:creator>wangna</dc:creator>
  <cp:lastModifiedBy>声声声慢</cp:lastModifiedBy>
  <cp:lastPrinted>2021-09-23T03:08:00Z</cp:lastPrinted>
  <dcterms:modified xsi:type="dcterms:W3CDTF">2022-04-13T08:15:44Z</dcterms:modified>
  <dc:title>天津市新能源汽车充电基础设施建设运营管理办法（初稿）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78DB2C0162554976B4FEAF226C53B6CD</vt:lpwstr>
  </property>
</Properties>
</file>